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BCR-C Compliance Review Report</w:t>
      </w:r>
    </w:p>
    <w:p>
      <w:r/>
      <w:r>
        <w:t>HealthData Alliance</w:t>
      </w:r>
    </w:p>
    <w:p>
      <w:r/>
      <w:r>
        <w:t>BCR Document-Driven Review (BCR-C)</w:t>
      </w:r>
    </w:p>
    <w:p>
      <w:r/>
      <w:r>
        <w:t>20260808</w:t>
      </w:r>
    </w:p>
    <w:p>
      <w:r/>
      <w:r>
        <w:t>Overall Rating: 高风险</w:t>
      </w:r>
    </w:p>
    <w:p>
      <w:r/>
      <w:r>
        <w:t>Key Findings: Binding nature (internal and external) 覆盖不完整；Third-party beneficiary rights 覆盖不完整；EU liable entity designation 覆盖不完整；Complaint handling mechanism 覆盖不完整；缺失 Cooperation with supervisory authorities</w:t>
      </w:r>
    </w:p>
    <w:p>
      <w:r/>
      <w:r>
        <w:t>Detailed: | 检查项 | 主题 | 风险 | 现状 | 整改建议 | 法律依据 |</w:t>
      </w:r>
      <w:r>
        <w:br/>
      </w:r>
      <w:r>
        <w:t>| --- | --- | --- | --- | --- | --- |</w:t>
      </w:r>
      <w:r>
        <w:br/>
      </w:r>
      <w:r>
        <w:t>| BCR-C-1.1 | Binding nature (internal and external) 覆盖不完整 | HIGH | Binding nature (internal and external) 部分覆盖但缺少关键要素. 依据：GDPR Article 47(1)(a)，EDPB Recommendations 1/2022。证据：未提及集团内协议或其他具有法律约束力的内部文书 | 应补充 Binding nature (internal and external) 的完整内容。 | GDPR Article 47(1)(a) [1]；EDPB Recommendations 1/2022 |</w:t>
      </w:r>
      <w:r>
        <w:br/>
      </w:r>
      <w:r>
        <w:t>| BCR-C-1.2 | Third-party beneficiary rights 覆盖不完整 | HIGH | Third-party beneficiary rights 部分覆盖但缺少关键要素. 依据：GDPR Article 47(1)(b)，EDPB Recommendations 1/2022。证据：文本未包含数据主体可直接强制执行BCR的第三方受益人权利描述 | 应补充 Third-party beneficiary rights 的完整内容。 | GDPR Article 47(1)(b) [1]；EDPB Recommendations 1/2022 |</w:t>
      </w:r>
      <w:r>
        <w:br/>
      </w:r>
      <w:r>
        <w:t>| BCR-C-1.3 | EU liable entity designation 覆盖不完整 | HIGH | EU liable entity designation 部分覆盖但缺少关键要素. 依据：GDPR Article 47(2)(f)，EDPB Recommendations 1/2022。证据：未指定一个在欧盟境内设立的实体作为承担BCR合规责任的主体 | 应补充 EU liable entity designation 的完整内容。 | GDPR Article 47(2)(f) [1]；EDPB Recommendations 1/2022 |</w:t>
      </w:r>
      <w:r>
        <w:br/>
      </w:r>
      <w:r>
        <w:t>| BCR-C-1.6 | Complaint handling mechanism 覆盖不完整 | MEDIUM | Complaint handling mechanism 部分覆盖但缺少关键要素. 依据：GDPR Article 47(2)(e)，EDPB Recommendations 1/2022。证据：未明确投诉处理的时限（如一个月内） | 应补充 Complaint handling mechanism 的完整内容。 | GDPR Article 47(2)(e)；EDPB Recommendations 1/2022 |</w:t>
      </w:r>
      <w:r>
        <w:br/>
      </w:r>
      <w:r>
        <w:t>| BCR-C-1.7 | 缺失 Cooperation with supervisory authorities | MEDIUM | 未在文档中找到 Cooperation with supervisory authorities 的相关内容. 依据：GDPR Article 47(2)(f)，EDPB Recommendations 1/2022。证据： | 应补充 Cooperation with supervisory authorities 的完整内容。 | GDPR Article 47(2)(f)；EDPB Recommendations 1/2022 |</w:t>
      </w:r>
      <w:r>
        <w:br/>
      </w:r>
      <w:r>
        <w:t>| BCR-C-1.8 | Onward transfer restrictions 表述模糊 | HIGH | Onward transfer restrictions 使用了模糊表述，未达到具体可执行标准. 依据：GDPR Chapter V，EDPB Recommendations 1/2022。证据：使用'substantially similar'等笼统表述定义保护标准，未指向具体GDPR保护水平或SCC | 应补充 Onward transfer restrictions 的完整内容。 | GDPR Chapter V；EDPB Recommendations 1/2022 |</w:t>
      </w:r>
      <w:r>
        <w:br/>
      </w:r>
      <w:r>
        <w:t>| BCR-C-1.9 | Third country law assessment (TIA) 覆盖不完整 | HIGH | Third country law assessment (TIA) 部分覆盖但缺少关键要素. 依据：Schrems II, EDPB 01/2020，EDPB Recommendations 01/2020。证据：未说明使用EDPB六步法或其他结构化方法进行TIA | 应补充 Third country law assessment (TIA) 的完整内容。 | Schrems II, EDPB 01/2020 [2]；EDPB Recommendations 01/2020 |</w:t>
      </w:r>
      <w:r>
        <w:br/>
      </w:r>
      <w:r>
        <w:t>| BCR-C-1.10 | 缺失 Audit and training mechanisms | MEDIUM | 未在文档中找到 Audit and training mechanisms 的相关内容. 依据：GDPR Article 47(2)(h)，EDPB Recommendations 1/2022。证据： | 应补充 Audit and training mechanisms 的完整内容。 | GDPR Article 47(2)(h)；EDPB Recommendations 1/2022 |</w:t>
      </w:r>
      <w:r>
        <w:br/>
      </w:r>
      <w:r>
        <w:t>| BCR-C-1.12 | Termination and exit provisions 覆盖不完整 | MEDIUM | Termination and exit provisions 部分覆盖但缺少关键要素. 依据：GDPR Article 47(2)(j)，EDPB Recommendations 1/2022。证据：命中关键词: ['end'] | 应补充 Termination and exit provisions 的完整内容。 | GDPR Article 47(2)(j)；EDPB Recommendations 1/2022 |</w:t>
      </w:r>
      <w:r>
        <w:br/>
      </w:r>
      <w:r>
        <w:t>| BCR-SHARED-2 | Personal data breach notification 覆盖不完整 | MEDIUM | Personal data breach notification 部分覆盖但缺少关键要素. 依据：，GDPR Article 33, 34。证据：命中关键词: ['breach'] | 应补充 Personal data breach notification 的完整内容。 | ；GDPR Article 33, 34 |</w:t>
      </w:r>
      <w:r>
        <w:br/>
      </w:r>
      <w:r>
        <w:t>| BCR-SHARED-3 | Government access request handling 覆盖不完整 | MEDIUM | Government access request handling 部分覆盖但缺少关键要素. 依据：，EDPB Recommendations 01/2020, 1/2022。证据：命中关键词: ['order'] | 应补充 Government access request handling 的完整内容。 | ；EDPB Recommendations 01/2020, 1/2022 |</w:t>
      </w:r>
      <w:r>
        <w:br/>
      </w:r>
      <w:r>
        <w:t>| BCR-C-1.9 | TIA 未引用 EDPB 结构化评估方法 | MEDIUM | TIA 描述未引用 EDPB 01/2020 六步法或其他结构化评估方法。 | 建议按照 EDPB 01/2020 六步法进行第三国法律评估 | Schrems II [2]；EDPB Recommendations 01/2020 |</w:t>
      </w:r>
      <w:r>
        <w:br/>
      </w:r>
      <w:r>
        <w:t>| BCR-C-1.9 | TIA 缺少定期审查机制 | MEDIUM | TIA 描述未说明评估的定期审查和更新频率。 | 应承诺至少每两年或在目标国法律发生重大变化时重新评估 | Schrems II [2]；EDPB Recommendations 01/2020 |</w:t>
      </w:r>
      <w:r>
        <w:br/>
      </w:r>
      <w:r>
        <w:t>| BCR-C-1.9 | TIA 未提及补充保护措施 | MEDIUM | TIA 描述未说明在第三国保护水平不足时应采取的补充措施。 | 应说明当 TIA 识别出风险时，将采取哪些补充技术、组织或合同措施 | Schrems II [2]；EDPB Recommendations 01/2020 |</w:t>
      </w:r>
      <w:r>
        <w:br/>
      </w:r>
      <w:r>
        <w:t>| BCR-C-1.9 | TIA 缺少无法缓解风险时的中止条款 | MEDIUM | TIA 描述未说明当风险无法通过补充措施缓解时，将暂停或中止数据传输。 | 应明确承诺当无法确保实质等同保护水平时，将暂停相关数据传输 | Schrems II [2]；EDPB Recommendations 01/2020 |</w:t>
      </w:r>
      <w:r>
        <w:br/>
      </w:r>
      <w:r>
        <w:t>| BCR-C-1.8 | 未明确限制向非 BCR 成员传输 | MEDIUM | BCR 文档未明确限制向非 BCR 成员或集团外第三方的数据传输。 | 应增加明确条款，限制向非 BCR 成员传输数据，除非有合法依据和保护措施 | GDPR Chapter V；EDPB Recommendations 1/2022 |</w:t>
      </w:r>
      <w:r>
        <w:br/>
      </w:r>
      <w:r>
        <w:t>| BCR-C-1.8 | 缺少转委托授权机制 | MEDIUM | 未说明向第三方传输是否需要事先书面授权或预先批准。 | 建议增加转委托的授权机制 | GDPR Chapter V；EDPB Recommendations 1/2022 |</w:t>
      </w:r>
      <w:r>
        <w:br/>
      </w:r>
      <w:r>
        <w:t>| BCR-C-1.3 | 未明确指定 EU 责任主体 | HIGH | BCR 文档未明确指定一个在欧盟境内设立的实体作为承担合规责任的 liability entity。 | 必须指定一个欧盟实体，接受对非欧盟成员违反 BCR 的责任并承担赔偿责任 | GDPR Article 47(1)(b), 47(2)(f) [1]；EDPB Recommendations 1/2022 |</w:t>
      </w:r>
      <w:r>
        <w:br/>
      </w:r>
      <w:r>
        <w:t>| BCR-C-1.3 | EU 责任主体未明确承诺责任/赔偿 | MEDIUM | 未说明 EU 责任主体是否接受对非欧盟成员违规行为的法律责任和赔偿责任。 | 应明确 EU 责任主体将对非欧盟成员的 BCR 违规行为承担赔偿责任 | GDPR Article 47(1)(b), 47(2)(f) [1]；EDPB Recommendations 1/2022 |</w:t>
      </w:r>
      <w:r>
        <w:br/>
      </w:r>
      <w:r>
        <w:t>| BCR-C-1.3 | 未赋予数据主体第三方受益人权利 | HIGH | BCR 文档未明确赋予数据主体第三方受益人权利以直接强制执行 BCR。 | 应增加独立条款，明确数据主体作为第三方受益人有权强制执行 BCR 条款 | GDPR Article 47(1)(b), 47(2)(f) [1]；EDPB Recommendations 1/2022 |</w:t>
      </w:r>
      <w:r>
        <w:br/>
      </w:r>
      <w:r>
        <w:t>| BCR-C-1.3 | 缺少数据主体救济渠道说明 | MEDIUM | BCR 文档未说明数据主体可获得的有效救济渠道（司法或行政）。 | 应说明数据主体可获得的有效救济渠道 | GDPR Article 47(1)(b), 47(2)(f) [1]；EDPB Recommendations 1/2022 |</w:t>
      </w:r>
      <w:r>
        <w:br/>
      </w:r>
      <w:r>
        <w:t>| BCR-C-1.1 | 转委托处理缺乏书面授权机制 | HIGH | 未要求子处理者转委托须经事先书面授权 | 建议要求所有转委托须经事先书面授权 | GDPR (EU) 2016/679 第段落1条 [1]；GDPR (EU) 2016/679 第段落2条 |</w:t>
      </w:r>
      <w:r>
        <w:br/>
      </w:r>
      <w:r>
        <w:t>| BCR-C-1.1 | TIA 评估方法不够完整 | MEDIUM | TIA 描述未涵盖EDPB六步法或周期性审查 | 建议涵盖EDPB六步法、周期性审查、补充措施和当地法律实践评估 | GDPR (EU) 2016/679 第段落1条 [1]；GDPR (EU) 2016/679 第段落2条 |</w:t>
      </w:r>
      <w:r>
        <w:br/>
      </w:r>
      <w:r>
        <w:t>| BCR-C-1.1 | 投诉处理时限未明确 | MEDIUM | 投诉处理条款未明确响应和处理时限 | 建议明确承诺在一个月内响应和调查投诉 | GDPR (EU) 2016/679 第段落1条 [1]；GDPR (EU) 2016/679 第段落2条 |</w:t>
      </w:r>
      <w:r>
        <w:br/>
      </w:r>
      <w:r>
        <w:t>| BCR-C-1.1 | 缺少法律约束力文书具体说明 | HIGH | 未提及集团内协议或其他具有法律约束力的内部文书 | 应说明BCR通过何种法律文书对所有成员产生约束力 | GDPR (EU) 2016/679 第段落1条 [1]；GDPR (EU) 2016/679 第段落2条 |</w:t>
      </w:r>
      <w:r>
        <w:br/>
      </w:r>
      <w:r>
        <w:t>| BCR-C-1.1 | 缺少子处理者变更通知机制 | MEDIUM | 未说明子处理者变更时是否通知控制者 | 应明确承诺在子处理者变更前通知控制者并给予反对机会 | GDPR (EU) 2016/679 第段落1条 [1]；GDPR (EU) 2016/679 第段落2条 |</w:t>
      </w:r>
    </w:p>
    <w:p>
      <w:r/>
      <w:r>
        <w:t>High Risk: Binding nature (internal and external) 覆盖不完整；Third-party beneficiary rights 覆盖不完整；EU liable entity designation 覆盖不完整；Onward transfer restrictions 表述模糊；Third country law assessment (TIA) 覆盖不完整；未明确指定 EU 责任主体；未赋予数据主体第三方受益人权利；转委托处理缺乏书面授权机制；缺少法律约束力文书具体说明</w:t>
      </w:r>
    </w:p>
    <w:p>
      <w:r/>
      <w:r>
        <w:t>Medium Risk: Complaint handling mechanism 覆盖不完整；缺失 Cooperation with supervisory authorities；缺失 Audit and training mechanisms；Termination and exit provisions 覆盖不完整；Personal data breach notification 覆盖不完整；Government access request handling 覆盖不完整；TIA 未引用 EDPB 结构化评估方法；TIA 缺少定期审查机制；TIA 未提及补充保护措施；TIA 缺少无法缓解风险时的中止条款；未明确限制向非 BCR 成员传输；缺少转委托授权机制；EU 责任主体未明确承诺责任/赔偿；缺少数据主体救济渠道说明；TIA 评估方法不够完整；投诉处理时限未明确；缺少子处理者变更通知机制</w:t>
      </w:r>
    </w:p>
    <w:p>
      <w:r/>
      <w:r>
        <w:t>Low Risk: 无</w:t>
      </w:r>
    </w:p>
    <w:p>
      <w:r/>
      <w:r>
        <w:t>Remediation: 高风险项（需立即整改）：</w:t>
      </w:r>
      <w:r>
        <w:br/>
      </w:r>
      <w:r>
        <w:t xml:space="preserve">  - Binding nature (internal and external) 覆盖不完整</w:t>
      </w:r>
      <w:r>
        <w:br/>
      </w:r>
      <w:r>
        <w:t xml:space="preserve">  - Third-party beneficiary rights 覆盖不完整</w:t>
      </w:r>
      <w:r>
        <w:br/>
      </w:r>
      <w:r>
        <w:t xml:space="preserve">  - EU liable entity designation 覆盖不完整</w:t>
      </w:r>
      <w:r>
        <w:br/>
      </w:r>
      <w:r>
        <w:t xml:space="preserve">  - Onward transfer restrictions 表述模糊</w:t>
      </w:r>
      <w:r>
        <w:br/>
      </w:r>
      <w:r>
        <w:t xml:space="preserve">  - Third country law assessment (TIA) 覆盖不完整</w:t>
      </w:r>
      <w:r>
        <w:br/>
      </w:r>
      <w:r/>
      <w:r>
        <w:br/>
      </w:r>
      <w:r>
        <w:t>### 可直接采用的建议条款</w:t>
      </w:r>
      <w:r>
        <w:br/>
      </w:r>
      <w:r>
        <w:t>- **BCR-C-1.1 Binding nature (internal and external) 覆盖不完整**：These Binding Corporate Rules constitute a legally binding instrument that is enforceable by all BCR members against each other and by data subjects as third-party beneficiaries. Each BCR member shall enter into an intra-group agreement that expressly incorporates these Rules and creates binding obligations under the law of [EU Member State].</w:t>
      </w:r>
      <w:r>
        <w:br/>
      </w:r>
      <w:r>
        <w:t>- **BCR-C-1.2 Third-party beneficiary rights 覆盖不完整**：Data subjects shall have the right to enforce these Rules as third-party beneficiaries against the EU liable entity and any BCR member. This right includes: (a) the right to lodge a complaint with the competent supervisory authority; (b) the right to an effective judicial remedy; and (c) the right to claim compensation for damages suffered as a result of a breach of these Rules.</w:t>
      </w:r>
      <w:r>
        <w:br/>
      </w:r>
      <w:r>
        <w:t>- **BCR-C-1.3 EU liable entity designation 覆盖不完整**：[Company Name], established in [EU Member State], shall act as the EU liable entity and shall: (a) accept responsibility for and guarantee compliance with these Rules by all BCR members; (b) assume the burden of proof that a BCR member has not violated these Rules; (c) maintain sufficient assets within the EU to meet any compensation claims by data subjects.</w:t>
      </w:r>
      <w:r>
        <w:br/>
      </w:r>
      <w:r>
        <w:t>- **BCR-C-1.8 Onward transfer restrictions 表述模糊**：[Insert specific clause addressing the identified requirement in accordance with GDPR Article 47 and EDPB Recommendations]</w:t>
      </w:r>
      <w:r>
        <w:br/>
      </w:r>
      <w:r>
        <w:t>- **BCR-C-1.9 Third country law assessment (TIA) 覆盖不完整**：[Insert specific clause addressing the identified requirement in accordance with GDPR Article 47 and EDPB Recommendations]</w:t>
      </w:r>
      <w:r>
        <w:br/>
      </w:r>
      <w:r>
        <w:t>- **BCR-C-1.3 未明确指定 EU 责任主体**：[Company Name], established in [EU Member State], shall act as the EU liable entity and shall: (a) accept responsibility for and guarantee compliance with these Rules by all BCR members; (b) assume the burden of proof that a BCR member has not violated these Rules; (c) maintain sufficient assets within the EU to meet any compensation claims by data subjects.</w:t>
      </w:r>
      <w:r>
        <w:br/>
      </w:r>
      <w:r>
        <w:t>- **BCR-C-1.3 未赋予数据主体第三方受益人权利**：[Company Name], established in [EU Member State], shall act as the EU liable entity and shall: (a) accept responsibility for and guarantee compliance with these Rules by all BCR members; (b) assume the burden of proof that a BCR member has not violated these Rules; (c) maintain sufficient assets within the EU to meet any compensation claims by data subjects.</w:t>
      </w:r>
      <w:r>
        <w:br/>
      </w:r>
      <w:r>
        <w:t>- **BCR-C-1.1 转委托处理缺乏书面授权机制**：These Binding Corporate Rules constitute a legally binding instrument that is enforceable by all BCR members against each other and by data subjects as third-party beneficiaries. Each BCR member shall enter into an intra-group agreement that expressly incorporates these Rules and creates binding obligations under the law of [EU Member State].</w:t>
      </w:r>
      <w:r>
        <w:br/>
      </w:r>
      <w:r>
        <w:t>- **BCR-C-1.1 缺少法律约束力文书具体说明**：These Binding Corporate Rules constitute a legally binding instrument that is enforceable by all BCR members against each other and by data subjects as third-party beneficiaries. Each BCR member shall enter into an intra-group agreement that expressly incorporates these Rules and creates binding obligations under the law of [EU Member State].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