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对华数据流动合规报告（美国视角，草案）</w:t>
      </w:r>
    </w:p>
    <w:p/>
    <w:p>
      <w:r>
        <w:t>版本：Draft v1.0</w:t>
      </w:r>
    </w:p>
    <w:p/>
    <w:p>
      <w:pPr>
        <w:pStyle w:val="Heading2"/>
      </w:pPr>
      <w:r>
        <w:t>1. 业务与传输概览</w:t>
      </w:r>
    </w:p>
    <w:p>
      <w:r/>
      <w:r>
        <w:t>（场景定义与适用范围：LLM未配置，此处为占位内容）</w:t>
      </w:r>
    </w:p>
    <w:p/>
    <w:p>
      <w:pPr>
        <w:pStyle w:val="Heading2"/>
      </w:pPr>
      <w:r>
        <w:t>2. 数据清单分析</w:t>
      </w:r>
    </w:p>
    <w:p>
      <w:r/>
      <w:r>
        <w:t>（数据类型与实体结构分析：LLM未配置，此处为占位内容）</w:t>
      </w:r>
    </w:p>
    <w:p/>
    <w:p>
      <w:pPr>
        <w:pStyle w:val="Heading2"/>
      </w:pPr>
      <w:r>
        <w:t>3. 实体清单与受限对象筛查</w:t>
      </w:r>
    </w:p>
    <w:p>
      <w:r/>
      <w:r>
        <w:t>- US ServiceCo | 美国 | processor | 受限主体=False</w:t>
      </w:r>
    </w:p>
    <w:p/>
    <w:p>
      <w:pPr>
        <w:pStyle w:val="Heading2"/>
      </w:pPr>
      <w:r>
        <w:t>4. 风险评级</w:t>
      </w:r>
    </w:p>
    <w:p>
      <w:r/>
      <w:r>
        <w:t>总体结论：红灯（禁止/高度受限）</w:t>
      </w:r>
      <w:r>
        <w:br/>
      </w:r>
      <w:r/>
      <w:r>
        <w:br/>
      </w:r>
      <w:r>
        <w:t>高风险实体清单：</w:t>
      </w:r>
      <w:r>
        <w:br/>
      </w:r>
      <w:r/>
      <w:r>
        <w:br/>
      </w:r>
      <w:r>
        <w:t>- 未发现受限实体</w:t>
      </w:r>
      <w:r>
        <w:br/>
      </w:r>
      <w:r/>
      <w:r>
        <w:br/>
      </w:r>
      <w:r>
        <w:t>风险矩阵（实体 x 数据类别）：</w:t>
      </w:r>
      <w:r>
        <w:br/>
      </w:r>
      <w:r/>
      <w:r>
        <w:br/>
      </w:r>
      <w:r>
        <w:t>| 实体/数据 | 账户信息 | 设备日志 | biometric |</w:t>
      </w:r>
      <w:r>
        <w:br/>
      </w:r>
      <w:r>
        <w:t>| --- | --- | --- | --- |</w:t>
      </w:r>
      <w:r>
        <w:br/>
      </w:r>
      <w:r>
        <w:t>| US ServiceCo | MEDIUM | MEDIUM | HIGH |</w:t>
      </w:r>
    </w:p>
    <w:p/>
    <w:p>
      <w:pPr>
        <w:pStyle w:val="Heading2"/>
      </w:pPr>
      <w:r>
        <w:t>5. 缓释措施与执行建议</w:t>
      </w:r>
    </w:p>
    <w:p>
      <w:r/>
      <w:r>
        <w:t>（风险分级与处置建议：LLM未配置，此处为占位内容）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