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CPRA Compliance Panorama Report</w:t>
      </w:r>
    </w:p>
    <w:p>
      <w:r/>
      <w:r>
        <w:t>评估日期：20260807。</w:t>
      </w:r>
    </w:p>
    <w:p>
      <w:r/>
      <w:r>
        <w:t>Current State: （企业适用性与范围：LLM未配置，此处为占位内容）</w:t>
      </w:r>
    </w:p>
    <w:p>
      <w:r/>
      <w:r>
        <w:t>CPRA Mapping: （数据处理活动合规分析：LLM未配置，此处为占位内容）</w:t>
      </w:r>
    </w:p>
    <w:p>
      <w:r/>
      <w:r>
        <w:t>Gaps &amp; Risks: [HIGH] notice_and_consent: 隐私告知或同意机制不完整; [MEDIUM] notice_and_consent: 隐私告知可能未涵盖数据类别、处理目的或留存期限; [MEDIUM] consumer_rights_process: 消费者权利响应时限与SLA未明确; [MEDIUM] opt_out_and_sale_sharing: opt-out链接可能不规范（缺标准文字/图标/GPC支持）; [MEDIUM] consent_ui: 同意界面使用混淆性或不清晰的语言</w:t>
      </w:r>
    </w:p>
    <w:p>
      <w:r/>
      <w:r>
        <w:t>Remediation: （行动清单与优先级：LLM未配置，此处为占位内容）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