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加州 CPRA 合规全景报告（草案）</w:t>
      </w:r>
    </w:p>
    <w:p/>
    <w:p>
      <w:r>
        <w:t>版本：Draft v1.0</w:t>
      </w:r>
    </w:p>
    <w:p/>
    <w:p>
      <w:pPr>
        <w:pStyle w:val="Heading2"/>
      </w:pPr>
      <w:r>
        <w:t>1. 企业现状画像</w:t>
      </w:r>
    </w:p>
    <w:p>
      <w:r>
        <w:t>{{current_state}}</w:t>
      </w:r>
    </w:p>
    <w:p/>
    <w:p>
      <w:pPr>
        <w:pStyle w:val="Heading2"/>
      </w:pPr>
      <w:r>
        <w:t>2. CPRA 条款映射</w:t>
      </w:r>
    </w:p>
    <w:p>
      <w:r>
        <w:t>{{cpra_mapping}}</w:t>
      </w:r>
    </w:p>
    <w:p/>
    <w:p>
      <w:pPr>
        <w:pStyle w:val="Heading2"/>
      </w:pPr>
      <w:r>
        <w:t>3. 差距与风险</w:t>
      </w:r>
    </w:p>
    <w:p>
      <w:r>
        <w:t>{{gaps_and_risks}}</w:t>
      </w:r>
    </w:p>
    <w:p/>
    <w:p>
      <w:pPr>
        <w:pStyle w:val="Heading2"/>
      </w:pPr>
      <w:r>
        <w:t>4. 整改路线图</w:t>
      </w:r>
    </w:p>
    <w:p>
      <w:r>
        <w:t>{{remediation_roadmap}}</w:t>
      </w:r>
    </w:p>
    <w:p/>
    <w:p>
      <w:pPr>
        <w:pStyle w:val="Heading2"/>
      </w:pPr>
      <w:r>
        <w:t>5. 结论</w:t>
      </w:r>
    </w:p>
    <w:p>
      <w:r>
        <w:t>{{final_conclusion}}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