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13 个问题11 个全局缺失项其中 HIGH 8 个、MEDIUM 4 个、LOW 1 个。</w:t>
      </w:r>
    </w:p>
    <w:p>
      <w:r>
        <w:t>总体合规评级：高风险</w:t>
      </w:r>
    </w:p>
    <w:p>
      <w:r>
        <w:t>风险评分：96.6/100</w:t>
      </w:r>
    </w:p>
    <w:p>
      <w:pPr>
        <w:pStyle w:val="Heading1"/>
      </w:pPr>
      <w:r>
        <w:t>二、审查概况与方法</w:t>
      </w:r>
    </w:p>
    <w:p>
      <w:r>
        <w:t>审查模式：llm</w:t>
      </w:r>
    </w:p>
    <w:p>
      <w:r>
        <w:t>文档类型：scc_contract</w:t>
      </w:r>
    </w:p>
    <w:p>
      <w:r>
        <w:t>文档名称：个人信息出境标准合同</w:t>
      </w:r>
    </w:p>
    <w:p>
      <w:r>
        <w:t>审查条款数：2</w:t>
      </w:r>
    </w:p>
    <w:p>
      <w:r>
        <w:t>已分类条款数：2</w:t>
      </w:r>
    </w:p>
    <w:p>
      <w:r>
        <w:t>发现问题总数：13</w:t>
      </w:r>
    </w:p>
    <w:p>
      <w:r>
        <w:t>全局缺失项数：11</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CONSENT_NOTICE: 1 条</w:t>
      </w:r>
    </w:p>
    <w:p>
      <w:r>
        <w:t xml:space="preserve">  - SECURITY_MEASURES: 1 条</w:t>
      </w:r>
    </w:p>
    <w:p>
      <w:pPr>
        <w:pStyle w:val="Heading1"/>
      </w:pPr>
      <w:r>
        <w:t>四、整体风险评估</w:t>
      </w:r>
    </w:p>
    <w:p>
      <w:r>
        <w:t>总体风险等级：高风险</w:t>
      </w:r>
    </w:p>
    <w:p>
      <w:r>
        <w:t>风险评分：96.6/100</w:t>
      </w:r>
    </w:p>
    <w:p>
      <w:r>
        <w:t>高风险问题：8 项</w:t>
      </w:r>
    </w:p>
    <w:p>
      <w:r>
        <w:t>中风险问题：4 项</w:t>
      </w:r>
    </w:p>
    <w:p>
      <w:r>
        <w:t>低风险问题：1 项</w:t>
      </w:r>
    </w:p>
    <w:p>
      <w:r>
        <w:t>全局缺失项：11 项</w:t>
      </w:r>
    </w:p>
    <w:p>
      <w:pPr>
        <w:pStyle w:val="Heading1"/>
      </w:pPr>
      <w:r>
        <w:t>五、完整性检查结果</w:t>
      </w:r>
    </w:p>
    <w:p>
      <w:r>
        <w:t>【必须补充】2 项：</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br/>
        <w:t>【建议补充】7 项：</w:t>
      </w:r>
    </w:p>
    <w:p>
      <w:r>
        <w:t xml:space="preserve">  [MEDIUM] 缺少数据处理目的与范围条款/说明</w:t>
      </w:r>
    </w:p>
    <w:p>
      <w:r>
        <w:t xml:space="preserve">    描述：在次要分类中被部分覆盖，建议补充完整条款</w:t>
      </w:r>
    </w:p>
    <w:p>
      <w:r>
        <w:t xml:space="preserve">    法规依据：《个人信息保护法》第13条；《个人信息保护法》第17条</w:t>
      </w:r>
    </w:p>
    <w:p>
      <w:r>
        <w:t xml:space="preserve">    建议：建议在文档中新增数据处理目的与范围相关条款，明确具体内容并确保符合《个人信息保护法》等相关法规要求。</w:t>
      </w:r>
    </w:p>
    <w:p>
      <w:r>
        <w:t xml:space="preserve">  [MEDIUM] 缺少数据出境条款/说明</w:t>
      </w:r>
    </w:p>
    <w:p>
      <w:r>
        <w:t xml:space="preserve">    描述：在次要分类中被部分覆盖，建议补充完整条款</w:t>
      </w:r>
    </w:p>
    <w:p>
      <w:r>
        <w:t xml:space="preserve">    法规依据：《个人信息保护法》第38条；《数据出境安全评估办法》第4条</w:t>
      </w:r>
    </w:p>
    <w:p>
      <w:r>
        <w:t xml:space="preserve">    建议：建议在文档中新增数据出境相关条款，明确具体内容并确保符合《个人信息保护法》等相关法规要求。</w:t>
      </w:r>
    </w:p>
    <w:p>
      <w:r>
        <w:t xml:space="preserve">  [MEDIUM] 缺少违约责任与争议解决条款/说明</w:t>
      </w:r>
    </w:p>
    <w:p>
      <w:r>
        <w:t xml:space="preserve">    描述：在次要分类中被部分覆盖，建议补充完整条款</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t xml:space="preserve">  [MEDIUM] 缺少主体权利行使条款/说明</w:t>
      </w:r>
    </w:p>
    <w:p>
      <w:r>
        <w:t xml:space="preserve">    描述：在次要分类中被部分覆盖，建议补充完整条款</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编号：DSL-spi_no_necessity-ec940d</w:t>
      </w:r>
    </w:p>
    <w:p>
      <w:r>
        <w:t>严重程度：HIGH | 条款类型：CONSENT_NOTICE</w:t>
      </w:r>
    </w:p>
    <w:p>
      <w:r>
        <w:t>标题：敏感个人信息处理缺少必要性说明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2 ---</w:t>
      </w:r>
    </w:p>
    <w:p>
      <w:r>
        <w:t>编号：DSL-no_storage_location-cc36a9</w:t>
      </w:r>
    </w:p>
    <w:p>
      <w:r>
        <w:t>严重程度：HIGH | 条款类型：CONSENT_NOTICE</w:t>
      </w:r>
    </w:p>
    <w:p>
      <w:r>
        <w:t>标题：未明确境外存储地点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3 ---</w:t>
      </w:r>
    </w:p>
    <w:p>
      <w:r>
        <w:t>编号：DSL-no_breach_notification_timeline-68337e</w:t>
      </w:r>
    </w:p>
    <w:p>
      <w:r>
        <w:t>严重程度：HIGH | 条款类型：CONSENT_NOTICE</w:t>
      </w:r>
    </w:p>
    <w:p>
      <w:r>
        <w:t>标题：未约定安全事件通知时限</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风险分析：未约定数据安全事件发生后的通知时限。依据相关法规，应在合理时限内通知，通常建议72小时内。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修改建议：建议明确安全事件通知的具体时限，如'72小时内书面通知'。</w:t>
      </w:r>
    </w:p>
    <w:p>
      <w:r>
        <w:t>审查方法：rule | 置信度：0.85</w:t>
      </w:r>
    </w:p>
    <w:p>
      <w:r>
        <w:t>--- 问题 4 ---</w:t>
      </w:r>
    </w:p>
    <w:p>
      <w:r>
        <w:t>编号：STD-MISS-2c4824dd94</w:t>
      </w:r>
    </w:p>
    <w:p>
      <w:r>
        <w:t>严重程度：HIGH | 条款类型：CONSENT_NOTICE</w:t>
      </w:r>
    </w:p>
    <w:p>
      <w:r>
        <w:t>标题：标准条款义务缺失</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风险分析：当前条款未覆盖以下标准义务：no_unbounded_delay。 ｜ 引用相关性警告：</w:t>
      </w:r>
    </w:p>
    <w:p>
      <w:r>
        <w:t>法规依据：《个人权利请求处理义务》个人权利请求处理义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5 ---</w:t>
      </w:r>
    </w:p>
    <w:p>
      <w:r>
        <w:t>编号：STD-MISS-efaef1107f</w:t>
      </w:r>
    </w:p>
    <w:p>
      <w:r>
        <w:t>严重程度：HIGH | 条款类型：SECURITY_MEASURES</w:t>
      </w:r>
    </w:p>
    <w:p>
      <w:r>
        <w:t>标题：标准条款义务缺失</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风险分析：当前条款未覆盖以下标准义务：timely_response, no_unbounded_delay。</w:t>
      </w:r>
    </w:p>
    <w:p>
      <w:r>
        <w:t>法规依据：《个人权利请求处理义务》个人权利请求处理义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6 ---</w:t>
      </w:r>
    </w:p>
    <w:p>
      <w:r>
        <w:t>编号：RULE-039623eac76d</w:t>
      </w:r>
    </w:p>
    <w:p>
      <w:r>
        <w:t>严重程度：HIGH | 条款类型：CONSENT_NOTICE</w:t>
      </w:r>
    </w:p>
    <w:p>
      <w:r>
        <w:t>标题：缺少关键信息：联系方式/联系</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风险分析：当前条款未清晰体现「联系方式/联系」，可能导致该类合规义务表达不完整。 ｜ 引用相关性警告：</w:t>
      </w:r>
    </w:p>
    <w:p>
      <w:r>
        <w:t>法规依据：《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7 ---</w:t>
      </w:r>
    </w:p>
    <w:p>
      <w:r>
        <w:t>编号：DSL-no_withdrawal_mechanism-45cca4</w:t>
      </w:r>
    </w:p>
    <w:p>
      <w:r>
        <w:t>严重程度：HIGH | 条款类型：CONSENT_NOTICE</w:t>
      </w:r>
    </w:p>
    <w:p>
      <w:r>
        <w:t>标题：缺少撤回同意机制说明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8 ---</w:t>
      </w:r>
    </w:p>
    <w:p>
      <w:r>
        <w:t>编号：DSL-no_withdrawal_mechanism-60e90c</w:t>
      </w:r>
    </w:p>
    <w:p>
      <w:r>
        <w:t>严重程度：HIGH | 条款类型：SECURITY_MEASURES</w:t>
      </w:r>
    </w:p>
    <w:p>
      <w:r>
        <w:t>标题：缺少撤回同意机制说明</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风险分析：未提供撤回同意的途径。《个人信息保护法》第15条要求提供便捷的撤回同意方式。</w:t>
      </w:r>
    </w:p>
    <w:p>
      <w:r>
        <w:t>法规依据：《个人信息保护法》第38条；《数据安全法》第27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9 ---</w:t>
      </w:r>
    </w:p>
    <w:p>
      <w:r>
        <w:t>编号：DSL-no_overseas_law_impact-c58c5f</w:t>
      </w:r>
    </w:p>
    <w:p>
      <w:r>
        <w:t>严重程度：MEDIUM | 条款类型：CONSENT_NOTICE</w:t>
      </w:r>
    </w:p>
    <w:p>
      <w:r>
        <w:t>标题：未评估境外法律环境影响</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风险分析：未评估境外接收方所在地法律环境对数据保护的影响。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10 ---</w:t>
      </w:r>
    </w:p>
    <w:p>
      <w:r>
        <w:t>编号：DSL-no_notification_content-11037a</w:t>
      </w:r>
    </w:p>
    <w:p>
      <w:r>
        <w:t>严重程度：MEDIUM | 条款类型：CONSENT_NOTICE</w:t>
      </w:r>
    </w:p>
    <w:p>
      <w:r>
        <w:t>标题：未说明个人信息泄露通知内容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11 ---</w:t>
      </w:r>
    </w:p>
    <w:p>
      <w:r>
        <w:t>编号：DSL-no_notification_content-4013e9</w:t>
      </w:r>
    </w:p>
    <w:p>
      <w:r>
        <w:t>严重程度：MEDIUM | 条款类型：SECURITY_MEASURES</w:t>
      </w:r>
    </w:p>
    <w:p>
      <w:r>
        <w:t>标题：未说明个人信息泄露通知内容</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风险分析：未说明个人信息泄露后通知个人信息主体时应包含的内容。《个人信息保护法》第57条要求告知泄露的信息种类、原因、可能危害和已采取的补救措施等。</w:t>
      </w:r>
    </w:p>
    <w:p>
      <w:r>
        <w:t>法规依据：《个人信息保护法》第38条；《数据安全法》第27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12 ---</w:t>
      </w:r>
    </w:p>
    <w:p>
      <w:r>
        <w:t>编号：DSL-no_deletion_after_purpose-089ede</w:t>
      </w:r>
    </w:p>
    <w:p>
      <w:r>
        <w:t>严重程度：MEDIUM | 条款类型：SECURITY_MEASURES</w:t>
      </w:r>
    </w:p>
    <w:p>
      <w:r>
        <w:t>标题：未说明目的实现后的数据处理</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风险分析：《个人信息保护法》第19条要求处理目的已实现、无法实现或不再必要时，应当主动删除个人信息。</w:t>
      </w:r>
    </w:p>
    <w:p>
      <w:r>
        <w:t>法规依据：《个人信息保护法》第38条；《数据安全法》第27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13 ---</w:t>
      </w:r>
    </w:p>
    <w:p>
      <w:r>
        <w:t>编号：DSL-no_transfer_right-6d3a96</w:t>
      </w:r>
    </w:p>
    <w:p>
      <w:r>
        <w:t>严重程度：LOW | 条款类型：CONSENT_NOTICE</w:t>
      </w:r>
    </w:p>
    <w:p>
      <w:r>
        <w:t>标题：未说明数据可携带权</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风险分析：未说明个人信息的转移/可携带权，《个人信息保护法》第45条规定个人有权请求将个人信息转移至其指定的处理者。 ｜ 引用相关性警告：</w:t>
      </w:r>
    </w:p>
    <w:p>
      <w:r>
        <w:t>法规依据：《个人信息保护法》第39条；《个人信息保护法》第15条；《中华人民共和国网络安全法（2025修正）》第二十四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pPr>
        <w:pStyle w:val="Heading1"/>
      </w:pPr>
      <w:r>
        <w:t>七、优先整改路线图</w:t>
      </w:r>
    </w:p>
    <w:p>
      <w:r>
        <w:t>优先整改 8 项高风险问题，重点涉及单独同意、境外接收方信息、数据出境说明等内容。</w:t>
      </w:r>
    </w:p>
    <w:p>
      <w:r>
        <w:t>补充 2 项全局缺失的必备条款：缺少再转移限制条款/说明、缺少委托处理条款/说明</w:t>
      </w:r>
    </w:p>
    <w:p>
      <w:r>
        <w:t>关注 4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《中华人民共和国网络安全法（2025修正）》第二十四条：《中华人民共和国网络安全法（2025修正）》第二十四条</w:t>
      </w:r>
    </w:p>
    <w:p>
      <w:r>
        <w:t xml:space="preserve">  《中华人民共和国网络安全法（2025修正）》第一条：《中华人民共和国网络安全法（2025修正）》第一条</w:t>
      </w:r>
    </w:p>
    <w:p>
      <w:r>
        <w:t xml:space="preserve">  《中华人民共和国网络安全法（2025修正）》第二条：《中华人民共和国网络安全法（2025修正）》第二条</w:t>
      </w:r>
    </w:p>
    <w:p>
      <w:r>
        <w:t xml:space="preserve">  《中华人民共和国网络安全法（2025修正）》第三条：《中华人民共和国网络安全法（2025修正）》第三条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《个人权利请求处理义务》个人权利请求处理义务：收到个人权利请求后，应及时响应，不得以笼统酌情或视情况为由无限期暂缓处理。</w:t>
      </w:r>
    </w:p>
    <w:p>
      <w:r>
        <w:t xml:space="preserve">  《个人信息保护法》第38条：《个人信息保护法》第38条</w:t>
      </w:r>
    </w:p>
    <w:p>
      <w:r>
        <w:t xml:space="preserve">  《数据安全法》第27条：《数据安全法》第27条</w:t>
      </w:r>
    </w:p>
    <w:p>
      <w:pPr>
        <w:pStyle w:val="Heading1"/>
      </w:pPr>
      <w:r>
        <w:t>九、审查边界与置信度说明</w:t>
      </w:r>
    </w:p>
    <w:p>
      <w:r>
        <w:t>本报告基于以下方法生成，请阅读以下说明以正确理解报告内容：</w:t>
      </w:r>
    </w:p>
    <w:p/>
    <w:p>
      <w:r>
        <w:t>一、已确认问题（12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三、低置信度问题（1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审查完成时间：2026-06-06T22:09:57.217476</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