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19 个问题11 个全局缺失项其中 HIGH 7 个、MEDIUM 11 个、LOW 1 个。</w:t>
      </w:r>
    </w:p>
    <w:p>
      <w:r>
        <w:t>总体合规评级：高风险</w:t>
      </w:r>
    </w:p>
    <w:p>
      <w:r>
        <w:t>风险评分：88.4/100</w:t>
      </w:r>
    </w:p>
    <w:p>
      <w:pPr>
        <w:pStyle w:val="Heading1"/>
      </w:pPr>
      <w:r>
        <w:t>二、审查概况与方法</w:t>
      </w:r>
    </w:p>
    <w:p>
      <w:r>
        <w:t>审查模式：llm</w:t>
      </w:r>
    </w:p>
    <w:p>
      <w:r>
        <w:t>文档类型：scc_contract</w:t>
      </w:r>
    </w:p>
    <w:p>
      <w:r>
        <w:t>文档名称：个人信息出境标准合同</w:t>
      </w:r>
    </w:p>
    <w:p>
      <w:r>
        <w:t>审查条款数：2</w:t>
      </w:r>
    </w:p>
    <w:p>
      <w:r>
        <w:t>已分类条款数：2</w:t>
      </w:r>
    </w:p>
    <w:p>
      <w:r>
        <w:t>发现问题总数：19</w:t>
      </w:r>
    </w:p>
    <w:p>
      <w:r>
        <w:t>全局缺失项数：11</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文档类型：scc_contract</w:t>
      </w:r>
    </w:p>
    <w:p>
      <w:r>
        <w:t>条款类型分布：</w:t>
      </w:r>
    </w:p>
    <w:p>
      <w:r>
        <w:t xml:space="preserve">  - CONSENT_NOTICE: 1 条</w:t>
      </w:r>
    </w:p>
    <w:p>
      <w:r>
        <w:t xml:space="preserve">  - SECURITY_MEASURES: 1 条</w:t>
      </w:r>
    </w:p>
    <w:p>
      <w:pPr>
        <w:pStyle w:val="Heading1"/>
      </w:pPr>
      <w:r>
        <w:t>四、整体风险评估</w:t>
      </w:r>
    </w:p>
    <w:p>
      <w:r>
        <w:t>总体风险等级：高风险</w:t>
      </w:r>
    </w:p>
    <w:p>
      <w:r>
        <w:t>风险评分：88.4/100</w:t>
      </w:r>
    </w:p>
    <w:p>
      <w:r>
        <w:t>高风险问题：7 项</w:t>
      </w:r>
    </w:p>
    <w:p>
      <w:r>
        <w:t>中风险问题：11 项</w:t>
      </w:r>
    </w:p>
    <w:p>
      <w:r>
        <w:t>低风险问题：1 项</w:t>
      </w:r>
    </w:p>
    <w:p>
      <w:r>
        <w:t>全局缺失项：11 项</w:t>
      </w:r>
    </w:p>
    <w:p>
      <w:pPr>
        <w:pStyle w:val="Heading1"/>
      </w:pPr>
      <w:r>
        <w:t>五、完整性检查结果</w:t>
      </w:r>
    </w:p>
    <w:p>
      <w:r>
        <w:t>【必须补充】2 项：</w:t>
      </w:r>
    </w:p>
    <w:p>
      <w:r>
        <w:t xml:space="preserve">  [HIGH] 缺少再转移限制条款/说明</w:t>
      </w:r>
    </w:p>
    <w:p>
      <w:r>
        <w:t xml:space="preserve">    描述：文档中未找到再转移限制相关内容</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t xml:space="preserve">  [HIGH] 缺少委托处理条款/说明</w:t>
      </w:r>
    </w:p>
    <w:p>
      <w:r>
        <w:t xml:space="preserve">    描述：文档中未找到委托处理相关内容</w:t>
      </w:r>
    </w:p>
    <w:p>
      <w:r>
        <w:t xml:space="preserve">    法规依据：《个人信息保护法》第21条</w:t>
      </w:r>
    </w:p>
    <w:p>
      <w:r>
        <w:t xml:space="preserve">    建议：建议在文档中新增委托处理相关条款，明确具体内容并确保符合《个人信息保护法》等相关法规要求。</w:t>
      </w:r>
    </w:p>
    <w:p>
      <w:r>
        <w:br/>
        <w:t>【建议补充】7 项：</w:t>
      </w:r>
    </w:p>
    <w:p>
      <w:r>
        <w:t xml:space="preserve">  [MEDIUM] 缺少数据处理目的与范围条款/说明</w:t>
      </w:r>
    </w:p>
    <w:p>
      <w:r>
        <w:t xml:space="preserve">    描述：在次要分类中被部分覆盖，建议补充完整条款</w:t>
      </w:r>
    </w:p>
    <w:p>
      <w:r>
        <w:t xml:space="preserve">    法规依据：《个人信息保护法》第13条；《个人信息保护法》第17条</w:t>
      </w:r>
    </w:p>
    <w:p>
      <w:r>
        <w:t xml:space="preserve">    建议：建议在文档中新增数据处理目的与范围相关条款，明确具体内容并确保符合《个人信息保护法》等相关法规要求。</w:t>
      </w:r>
    </w:p>
    <w:p>
      <w:r>
        <w:t xml:space="preserve">  [MEDIUM] 缺少数据出境条款/说明</w:t>
      </w:r>
    </w:p>
    <w:p>
      <w:r>
        <w:t xml:space="preserve">    描述：在次要分类中被部分覆盖，建议补充完整条款</w:t>
      </w:r>
    </w:p>
    <w:p>
      <w:r>
        <w:t xml:space="preserve">    法规依据：《个人信息保护法》第38条；《数据出境安全评估办法》第4条</w:t>
      </w:r>
    </w:p>
    <w:p>
      <w:r>
        <w:t xml:space="preserve">    建议：建议在文档中新增数据出境相关条款，明确具体内容并确保符合《个人信息保护法》等相关法规要求。</w:t>
      </w:r>
    </w:p>
    <w:p>
      <w:r>
        <w:t xml:space="preserve">  [MEDIUM] 缺少违约责任与争议解决条款/说明</w:t>
      </w:r>
    </w:p>
    <w:p>
      <w:r>
        <w:t xml:space="preserve">    描述：在次要分类中被部分覆盖，建议补充完整条款</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t xml:space="preserve">  [MEDIUM] 缺少主体权利行使条款/说明</w:t>
      </w:r>
    </w:p>
    <w:p>
      <w:r>
        <w:t xml:space="preserve">    描述：在次要分类中被部分覆盖，建议补充完整条款</w:t>
      </w:r>
    </w:p>
    <w:p>
      <w:r>
        <w:t xml:space="preserve">    法规依据：《个人信息保护法》第44条；《个人信息保护法》第45条；《个人信息保护法》第46条</w:t>
      </w:r>
    </w:p>
    <w:p>
      <w:r>
        <w:t xml:space="preserve">    建议：建议在文档中新增主体权利行使相关条款，明确具体内容并确保符合《个人信息保护法》等相关法规要求。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缺少保存期限与删除条款/说明</w:t>
      </w:r>
    </w:p>
    <w:p>
      <w:r>
        <w:t xml:space="preserve">    描述：在次要分类中被部分覆盖，建议补充完整条款</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t xml:space="preserve">  [MEDIUM] 缺少敏感个人信息条款/说明</w:t>
      </w:r>
    </w:p>
    <w:p>
      <w:r>
        <w:t xml:space="preserve">    描述：在次要分类中被部分覆盖，建议补充完整条款</w:t>
      </w:r>
    </w:p>
    <w:p>
      <w:r>
        <w:t xml:space="preserve">    法规依据：《个人信息保护法》第28条；《个人信息保护法》第29条</w:t>
      </w:r>
    </w:p>
    <w:p>
      <w:r>
        <w:t xml:space="preserve">    建议：建议在文档中新增敏感个人信息相关条款，明确具体内容并确保符合《个人信息保护法》等相关法规要求。</w:t>
      </w:r>
    </w:p>
    <w:p>
      <w:r>
        <w:br/>
        <w:t>【优化建议】2 项：</w:t>
      </w:r>
    </w:p>
    <w:p>
      <w:r>
        <w:t xml:space="preserve">  [LOW] 缺少补充保护措施条款/说明</w:t>
      </w:r>
    </w:p>
    <w:p>
      <w:r>
        <w:t xml:space="preserve">    描述：建议补充补充保护措施相关条款</w:t>
      </w:r>
    </w:p>
    <w:p>
      <w:r>
        <w:t xml:space="preserve">    法规依据：《个人信息出境标准合同办法</w:t>
      </w:r>
    </w:p>
    <w:p>
      <w:r>
        <w:t xml:space="preserve">    建议：建议在文档中新增补充保护措施相关条款，明确具体内容并确保符合《个人信息保护法》等相关法规要求。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编号：DSL-spi_no_necessity-bcabb0</w:t>
      </w:r>
    </w:p>
    <w:p>
      <w:r>
        <w:t>严重程度：HIGH | 条款类型：CONSENT_NOTICE</w:t>
      </w:r>
    </w:p>
    <w:p>
      <w:r>
        <w:t>标题：敏感个人信息处理缺少必要性说明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风险分析：涉及敏感个人信息处理，但未说明处理的特定目的和充分必要性。《个人信息保护法》第28条要求具有特定目的和充分必要性。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修改建议：应明确说明处理敏感个人信息的特定目的和充分必要性。</w:t>
      </w:r>
    </w:p>
    <w:p>
      <w:r>
        <w:t>审查方法：rule | 置信度：0.85</w:t>
      </w:r>
    </w:p>
    <w:p>
      <w:r>
        <w:t>--- 问题 2 ---</w:t>
      </w:r>
    </w:p>
    <w:p>
      <w:r>
        <w:t>编号：DSL-no_storage_location-7b2230</w:t>
      </w:r>
    </w:p>
    <w:p>
      <w:r>
        <w:t>严重程度：HIGH | 条款类型：CONSENT_NOTICE</w:t>
      </w:r>
    </w:p>
    <w:p>
      <w:r>
        <w:t>标题：未明确境外存储地点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风险分析：涉及数据出境但未明确境外数据的存储地点，无法评估接收方所在地法律环境和保护能力。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3 ---</w:t>
      </w:r>
    </w:p>
    <w:p>
      <w:r>
        <w:t>编号：DSL-no_breach_notification_timeline-26edbe</w:t>
      </w:r>
    </w:p>
    <w:p>
      <w:r>
        <w:t>严重程度：HIGH | 条款类型：CONSENT_NOTICE</w:t>
      </w:r>
    </w:p>
    <w:p>
      <w:r>
        <w:t>标题：未约定安全事件通知时限</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风险分析：未约定数据安全事件发生后的通知时限。依据相关法规，应在合理时限内通知，通常建议72小时内。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修改建议：建议明确安全事件通知的具体时限，如'72小时内书面通知'。</w:t>
      </w:r>
    </w:p>
    <w:p>
      <w:r>
        <w:t>审查方法：rule | 置信度：0.85</w:t>
      </w:r>
    </w:p>
    <w:p>
      <w:r>
        <w:t>--- 问题 4 ---</w:t>
      </w:r>
    </w:p>
    <w:p>
      <w:r>
        <w:t>编号：STD-MISS-7423e40acf</w:t>
      </w:r>
    </w:p>
    <w:p>
      <w:r>
        <w:t>严重程度：HIGH | 条款类型：CONSENT_NOTICE</w:t>
      </w:r>
    </w:p>
    <w:p>
      <w:r>
        <w:t>标题：标准条款义务缺失</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风险分析：当前条款未覆盖以下标准义务：no_unbounded_delay。 ｜ 引用相关性警告：</w:t>
      </w:r>
    </w:p>
    <w:p>
      <w:r>
        <w:t>法规依据：《个人权利请求处理义务》个人权利请求处理义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5 ---</w:t>
      </w:r>
    </w:p>
    <w:p>
      <w:r>
        <w:t>编号：STD-MISS-a3c4a74082</w:t>
      </w:r>
    </w:p>
    <w:p>
      <w:r>
        <w:t>严重程度：HIGH | 条款类型：SECURITY_MEASURES</w:t>
      </w:r>
    </w:p>
    <w:p>
      <w:r>
        <w:t>标题：标准条款义务缺失</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风险分析：当前条款未覆盖以下标准义务：timely_response, no_unbounded_delay。</w:t>
      </w:r>
    </w:p>
    <w:p>
      <w:r>
        <w:t>法规依据：《个人权利请求处理义务》个人权利请求处理义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6 ---</w:t>
      </w:r>
    </w:p>
    <w:p>
      <w:r>
        <w:t>编号：DSL-no_withdrawal_mechanism-b76981</w:t>
      </w:r>
    </w:p>
    <w:p>
      <w:r>
        <w:t>严重程度：HIGH | 条款类型：CONSENT_NOTICE</w:t>
      </w:r>
    </w:p>
    <w:p>
      <w:r>
        <w:t>标题：缺少撤回同意机制说明</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风险分析：未提供撤回同意的途径。《个人信息保护法》第15条要求提供便捷的撤回同意方式。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7 ---</w:t>
      </w:r>
    </w:p>
    <w:p>
      <w:r>
        <w:t>编号：DSL-no_withdrawal_mechanism-e95eee</w:t>
      </w:r>
    </w:p>
    <w:p>
      <w:r>
        <w:t>严重程度：HIGH | 条款类型：SECURITY_MEASURES</w:t>
      </w:r>
    </w:p>
    <w:p>
      <w:r>
        <w:t>标题：缺少撤回同意机制说明</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风险分析：未提供撤回同意的途径。《个人信息保护法》第15条要求提供便捷的撤回同意方式。</w:t>
      </w:r>
    </w:p>
    <w:p>
      <w:r>
        <w:t>法规依据：《个人信息保护法》第38条；《数据安全法》第27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8 ---</w:t>
      </w:r>
    </w:p>
    <w:p>
      <w:r>
        <w:t>编号：LLM-1ef2ca82aec6</w:t>
      </w:r>
    </w:p>
    <w:p>
      <w:r>
        <w:t>严重程度：MEDIUM | 条款类型：CONSENT_NOTICE</w:t>
      </w:r>
    </w:p>
    <w:p>
      <w:r>
        <w:t>标题：个人信息出境目的不明确</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风险分析：合同中未明确指出个人信息出境的具体目的，仅提到乙方为甲方提供跨境支付交易的相关服务，这可能导致信息处理的合规性问题。 ｜ 引用相关性警告：</w:t>
      </w:r>
    </w:p>
    <w:p>
      <w:r>
        <w:t>法规依据：《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修改建议：应详细列明个人信息出境的具体目的和场景，确保与《个人信息保护法》等相关法律法规的要求相一致。</w:t>
      </w:r>
    </w:p>
    <w:p>
      <w:r>
        <w:t>建议替换：</w:t>
      </w:r>
    </w:p>
    <w:p>
      <w:r>
        <w:t xml:space="preserve">  原文：出境目的：乙方为甲方提供跨境支付交易的风险筛查、欺诈监测、合规审计及资金结算所必需的数据处理服务。</w:t>
      </w:r>
    </w:p>
    <w:p>
      <w:r>
        <w:t xml:space="preserve">  建议改为：出境目的：乙方为甲方提供跨境支付交易相关的风险筛查数据、欺诈监测数据、合规审计数据及资金结算数据所需的数据处理服务。</w:t>
      </w:r>
    </w:p>
    <w:p>
      <w:r>
        <w:t>⚠️ 存在不确定事实：由于业务场景描述中提到了跨境支付交易的风险筛查、欺诈监测、合规审计及资金结算，但未在合同中明确列出，因此存在不确定性。</w:t>
      </w:r>
    </w:p>
    <w:p>
      <w:r>
        <w:t>审查方法：llm | 置信度：0.85</w:t>
      </w:r>
    </w:p>
    <w:p>
      <w:r>
        <w:t>--- 问题 9 ---</w:t>
      </w:r>
    </w:p>
    <w:p>
      <w:r>
        <w:t>编号：LLM-b2e09621e615</w:t>
      </w:r>
    </w:p>
    <w:p>
      <w:r>
        <w:t>严重程度：MEDIUM | 条款类型：CONSENT_NOTICE</w:t>
      </w:r>
    </w:p>
    <w:p>
      <w:r>
        <w:t>标题：个人信息数量可能超出限制</w:t>
      </w:r>
    </w:p>
    <w:p>
      <w:r>
        <w:t>问题类型：NON_COMPLIANT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风险分析：合同中提到预计初始年度涉及的个人信息主体不超过50万人，但实际业务场景中可能存在超过该数量的情况，需进一步确认是否合规。 ｜ 引用相关性警告：</w:t>
      </w:r>
    </w:p>
    <w:p>
      <w:r>
        <w:t>法规依据：《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修改建议：应核实实际处理的个人信息数量，确保不超过相关法律法规规定的上限，并在合同中明确列出处理个人信息的数量限制。</w:t>
      </w:r>
    </w:p>
    <w:p>
      <w:r>
        <w:t>建议替换：</w:t>
      </w:r>
    </w:p>
    <w:p>
      <w:r>
        <w:t xml:space="preserve">  原文：个人信息数量：预计初始年度涉及的个人信息主体不超过50万人。</w:t>
      </w:r>
    </w:p>
    <w:p>
      <w:r>
        <w:t xml:space="preserve">  建议改为：个人信息数量：实际处理的个人信息数量不超过50万人，并在合同中明确该限制。</w:t>
      </w:r>
    </w:p>
    <w:p>
      <w:r>
        <w:t>⚠️ 存在不确定事实：由于业务场景中提到预计初始年度涉及的个人信息主体不超过50万人，但实际数量可能更多，因此存在不确定性。</w:t>
      </w:r>
    </w:p>
    <w:p>
      <w:r>
        <w:t>审查方法：llm | 置信度：0.85</w:t>
      </w:r>
    </w:p>
    <w:p>
      <w:r>
        <w:t>--- 问题 10 ---</w:t>
      </w:r>
    </w:p>
    <w:p>
      <w:r>
        <w:t>编号：LLM-2bb3c1b2c69d</w:t>
      </w:r>
    </w:p>
    <w:p>
      <w:r>
        <w:t>严重程度：MEDIUM | 条款类型：SECURITY_MEASURES</w:t>
      </w:r>
    </w:p>
    <w:p>
      <w:r>
        <w:t>标题：争议解决机制</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风险分析：原文中提到的争议解决机制是'任何争议提交新加坡国际仲裁中心（SIAC）仲裁，仲裁地为新加坡'，但未明确仲裁适用的法律和程序是否符合中国的强制性要求。</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修改建议：建议明确仲裁适用的法律和程序，并确保符合中国的强制性要求。</w:t>
      </w:r>
    </w:p>
    <w:p>
      <w:r>
        <w:t>建议替换：</w:t>
      </w:r>
    </w:p>
    <w:p>
      <w:r>
        <w:t xml:space="preserve">  原文：任何争议提交新加坡国际仲裁中心（SIAC）仲裁，仲裁地为新加坡</w:t>
      </w:r>
    </w:p>
    <w:p>
      <w:r>
        <w:t xml:space="preserve">  建议改为：任何争议提交新加坡国际仲裁中心（SIAC）仲裁，仲裁地为新加坡，仲裁适用的法律和程序应符合中国的强制性要求。</w:t>
      </w:r>
    </w:p>
    <w:p>
      <w:r>
        <w:t>⚠️ 存在不确定事实：仲裁的具体适用法律和程序可能存在不确定因素，需要进一步确认。</w:t>
      </w:r>
    </w:p>
    <w:p>
      <w:r>
        <w:t>审查方法：llm | 置信度：0.85</w:t>
      </w:r>
    </w:p>
    <w:p>
      <w:r>
        <w:t>--- 问题 11 ---</w:t>
      </w:r>
    </w:p>
    <w:p>
      <w:r>
        <w:t>编号：LLM-9031ac9418f7</w:t>
      </w:r>
    </w:p>
    <w:p>
      <w:r>
        <w:t>严重程度：MEDIUM | 条款类型：SECURITY_MEASURES</w:t>
      </w:r>
    </w:p>
    <w:p>
      <w:r>
        <w:t>标题：数据传输安全措施</w:t>
      </w:r>
    </w:p>
    <w:p>
      <w:r>
        <w:t>问题类型：AMBIGUOUS_LANGUAGE</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风险分析：原文中提到的安全措施是'双方之间通过基于TLS 1.3的安全API接口进行数据传输'，但未明确说明TLS 1.3是否符合中国的《网络安全法（2025修正）》要求。</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修改建议：建议明确指出TLS 1.3是否符合中国的《网络安全法（2025修正）》要求，并确保数据传输符合相关法律法规。</w:t>
      </w:r>
    </w:p>
    <w:p>
      <w:r>
        <w:t>建议替换：</w:t>
      </w:r>
    </w:p>
    <w:p>
      <w:r>
        <w:t xml:space="preserve">  原文：双方之间通过基于TLS 1.3的安全API接口进行数据传输</w:t>
      </w:r>
    </w:p>
    <w:p>
      <w:r>
        <w:t xml:space="preserve">  建议改为：双方之间通过符合《网络安全法（2025修正）》要求的加密安全API接口进行数据传输</w:t>
      </w:r>
    </w:p>
    <w:p>
      <w:r>
        <w:t>⚠️ 存在不确定事实：TLS 1.3的具体合规性需要进一步确认，可能存在不确定的法律解释或实施细节。</w:t>
      </w:r>
    </w:p>
    <w:p>
      <w:r>
        <w:t>审查方法：llm | 置信度：0.85</w:t>
      </w:r>
    </w:p>
    <w:p>
      <w:r>
        <w:t>--- 问题 12 ---</w:t>
      </w:r>
    </w:p>
    <w:p>
      <w:r>
        <w:t>编号：LLM-d874bc0acd90</w:t>
      </w:r>
    </w:p>
    <w:p>
      <w:r>
        <w:t>严重程度：MEDIUM | 条款类型：SECURITY_MEASURES</w:t>
      </w:r>
    </w:p>
    <w:p>
      <w:r>
        <w:t>标题：数据存储与处理期限</w:t>
      </w:r>
    </w:p>
    <w:p>
      <w:r>
        <w:t>问题类型：NON_COMPLIANT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风险分析：原文中提到'乙方保存相关个人信息不超过2年，法律或监管另有更长期限要求的除外'，这与《个人信息保护法》第三十八条规定的'自处理目的实现之日起，个人信息保存时间不得超过三年'存在冲突。</w:t>
      </w:r>
    </w:p>
    <w:p>
      <w:r>
        <w:t>法规依据：《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修改建议：建议修改为符合《个人信息保护法》第三十八条要求的期限，例如'自单笔交易完成之日起，乙方保存相关个人信息不超过三年，法律或监管另有更长期限要求的除外'。</w:t>
      </w:r>
    </w:p>
    <w:p>
      <w:r>
        <w:t>建议替换：</w:t>
      </w:r>
    </w:p>
    <w:p>
      <w:r>
        <w:t xml:space="preserve">  原文：乙方保存相关个人信息不超过2年，法律或监管另有更长期限要求的除外</w:t>
      </w:r>
    </w:p>
    <w:p>
      <w:r>
        <w:t xml:space="preserve">  建议改为：乙方保存相关个人信息不超过三年，法律或监管另有更长期限要求的除外</w:t>
      </w:r>
    </w:p>
    <w:p>
      <w:r>
        <w:t>⚠️ 存在不确定事实：法律对于个人信息的保存期限有明确要求，需要确保合同条款与法律规定一致。</w:t>
      </w:r>
    </w:p>
    <w:p>
      <w:r>
        <w:t>审查方法：llm | 置信度：0.85</w:t>
      </w:r>
    </w:p>
    <w:p>
      <w:r>
        <w:t>--- 问题 13 ---</w:t>
      </w:r>
    </w:p>
    <w:p>
      <w:r>
        <w:t>编号：LLM-ac4e1936148e</w:t>
      </w:r>
    </w:p>
    <w:p>
      <w:r>
        <w:t>严重程度：MEDIUM | 条款类型：CONSENT_NOTICE</w:t>
      </w:r>
    </w:p>
    <w:p>
      <w:r>
        <w:t>标题：数据安全保护措施不够详细</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风险分析：虽然提到了双方之间通过基于TLS 1.3的安全API接口进行数据传输，但未详细说明其他数据安全保护措施，可能导致合规性问题。 ｜ 引用相关性警告：</w:t>
      </w:r>
    </w:p>
    <w:p>
      <w:r>
        <w:t>法规依据：《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修改建议：应补充和完善数据安全保护措施的具体内容，包括但不限于加密技术、访问控制、监控和审计等。</w:t>
      </w:r>
    </w:p>
    <w:p>
      <w:r>
        <w:t>建议替换：</w:t>
      </w:r>
    </w:p>
    <w:p>
      <w:r>
        <w:t xml:space="preserve">  原文：数据安全保护措施：双方之间通过基于TLS</w:t>
      </w:r>
    </w:p>
    <w:p>
      <w:r>
        <w:t xml:space="preserve">  建议改为：数据安全保护措施：双方之间通过基于TLS 1.3的安全API接口进行数据传输，并采取其他必要的数据安全保护措施，包括但不限于数据加密、访问控制、监控和审计。</w:t>
      </w:r>
    </w:p>
    <w:p>
      <w:r>
        <w:t>⚠️ 存在不确定事实：由于合同文本中仅提到了基于TLS 1.3的安全API接口，但未详细说明其他数据安全保护措施，因此存在不确定性。</w:t>
      </w:r>
    </w:p>
    <w:p>
      <w:r>
        <w:t>审查方法：llm | 置信度：0.85</w:t>
      </w:r>
    </w:p>
    <w:p>
      <w:r>
        <w:t>--- 问题 14 ---</w:t>
      </w:r>
    </w:p>
    <w:p>
      <w:r>
        <w:t>编号：DSL-no_overseas_law_impact-593cb8</w:t>
      </w:r>
    </w:p>
    <w:p>
      <w:r>
        <w:t>严重程度：MEDIUM | 条款类型：CONSENT_NOTICE</w:t>
      </w:r>
    </w:p>
    <w:p>
      <w:r>
        <w:t>标题：未评估境外法律环境影响</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风险分析：未评估境外接收方所在地法律环境对数据保护的影响。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15 ---</w:t>
      </w:r>
    </w:p>
    <w:p>
      <w:r>
        <w:t>编号：DSL-no_notification_content-c56147</w:t>
      </w:r>
    </w:p>
    <w:p>
      <w:r>
        <w:t>严重程度：MEDIUM | 条款类型：CONSENT_NOTICE</w:t>
      </w:r>
    </w:p>
    <w:p>
      <w:r>
        <w:t>标题：未说明个人信息泄露通知内容</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风险分析：未说明个人信息泄露后通知个人信息主体时应包含的内容。《个人信息保护法》第57条要求告知泄露的信息种类、原因、可能危害和已采取的补救措施等。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16 ---</w:t>
      </w:r>
    </w:p>
    <w:p>
      <w:r>
        <w:t>编号：DSL-no_notification_content-689058</w:t>
      </w:r>
    </w:p>
    <w:p>
      <w:r>
        <w:t>严重程度：MEDIUM | 条款类型：SECURITY_MEASURES</w:t>
      </w:r>
    </w:p>
    <w:p>
      <w:r>
        <w:t>标题：未说明个人信息泄露通知内容</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风险分析：未说明个人信息泄露后通知个人信息主体时应包含的内容。《个人信息保护法》第57条要求告知泄露的信息种类、原因、可能危害和已采取的补救措施等。</w:t>
      </w:r>
    </w:p>
    <w:p>
      <w:r>
        <w:t>法规依据：《个人信息保护法》第38条；《数据安全法》第27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修改建议：建议补充数据泄露通知应包含的具体内容。</w:t>
      </w:r>
    </w:p>
    <w:p>
      <w:r>
        <w:t>审查方法：rule | 置信度：0.85</w:t>
      </w:r>
    </w:p>
    <w:p>
      <w:r>
        <w:t>--- 问题 17 ---</w:t>
      </w:r>
    </w:p>
    <w:p>
      <w:r>
        <w:t>编号：DSL-no_deletion_after_purpose-e4839c</w:t>
      </w:r>
    </w:p>
    <w:p>
      <w:r>
        <w:t>严重程度：MEDIUM | 条款类型：SECURITY_MEASURES</w:t>
      </w:r>
    </w:p>
    <w:p>
      <w:r>
        <w:t>标题：未说明目的实现后的数据处理</w:t>
      </w:r>
    </w:p>
    <w:p>
      <w:r>
        <w:t>问题类型：MISSING_REQUIREMENT</w:t>
      </w:r>
    </w:p>
    <w:p>
      <w:r>
        <w:t>原文摘录：1.3的安全API接口进行数据传输。</w:t>
        <w:br/>
        <w:t>数据安全保护措施：静态个人信息使用AES-256算法加密存储。加密密钥由乙方通过硬件安全模块（HSM）管理。</w:t>
        <w:br/>
        <w:t>数据安全保护措施：乙方对存储个人信息的系统实施严格的基于角色的访问控制（RBAC），访问需多因素认证（MFA），所有操作日志保留不少于3年。</w:t>
        <w:br/>
        <w:t>数据安全保护措施：乙方承诺每年聘请独立的第三方机构对其与履行本合同相关的安全控制进行一次审计。</w:t>
        <w:br/>
        <w:t>个人信息泄露等事件的告知与应对：任何一方一旦知悉发生或可能发生个人信息泄露、篡改、丢失的，应立</w:t>
      </w:r>
    </w:p>
    <w:p>
      <w:r>
        <w:t>风险分析：《个人信息保护法》第19条要求处理目的已实现、无法实现或不再必要时，应当主动删除个人信息。</w:t>
      </w:r>
    </w:p>
    <w:p>
      <w:r>
        <w:t>法规依据：《个人信息保护法》第38条；《数据安全法》第27条；《中华人民共和国网络安全法（2025修正）》第十三条；《中华人民共和国网络安全法（2025修正）》第二十四条；《中华人民共和国网络安全法（2025修正）》第一条；《中华人民共和国网络安全法（2025修正）》第二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修改建议：建议补充处理目的实现后的数据删除或匿名化处理机制。</w:t>
      </w:r>
    </w:p>
    <w:p>
      <w:r>
        <w:t>审查方法：rule | 置信度：0.85</w:t>
      </w:r>
    </w:p>
    <w:p>
      <w:r>
        <w:t>--- 问题 18 ---</w:t>
      </w:r>
    </w:p>
    <w:p>
      <w:r>
        <w:t>编号：LLM-b343bf601b35</w:t>
      </w:r>
    </w:p>
    <w:p>
      <w:r>
        <w:t>严重程度：MEDIUM | 条款类型：CONSENT_NOTICE</w:t>
      </w:r>
    </w:p>
    <w:p>
      <w:r>
        <w:t>标题：缺乏争议解决机制的具体细节</w:t>
      </w:r>
    </w:p>
    <w:p>
      <w:r>
        <w:t>问题类型：AMBIGUOUS_LANGUAGE</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风险分析：合同中提到任何争议提交新加坡国际仲裁中心（SIAC）仲裁，但未详细说明仲裁的具体程序和条件，可能导致合规性问题。 ｜ 引用相关性警告：</w:t>
      </w:r>
    </w:p>
    <w:p>
      <w:r>
        <w:t>法规依据：《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修改建议：应明确争议解决机制的具体细节，包括但不限于仲裁机构、仲裁地点、仲裁程序、裁决执行等。</w:t>
      </w:r>
    </w:p>
    <w:p>
      <w:r>
        <w:t>建议替换：</w:t>
      </w:r>
    </w:p>
    <w:p>
      <w:r>
        <w:t xml:space="preserve">  原文：争议解决：任何争议提交新加坡国际仲裁中心（SIAC）仲裁</w:t>
      </w:r>
    </w:p>
    <w:p>
      <w:r>
        <w:t xml:space="preserve">  建议改为：争议解决：任何争议提交新加坡国际仲裁中心（SIAC）仲裁，具体仲裁程序为提交仲裁申请、预付仲裁费、安排仲裁庭、举行仲裁庭审、裁决仲裁庭意见、执行仲裁裁决等。</w:t>
      </w:r>
    </w:p>
    <w:p>
      <w:r>
        <w:t>⚠️ 存在不确定事实：由于合同文本中仅提到了提交新加坡国际仲裁中心进行仲裁，但未详细说明仲裁的具体程序和条件，因此存在不确定性。</w:t>
      </w:r>
    </w:p>
    <w:p>
      <w:r>
        <w:t>审查方法：llm | 置信度：0.85</w:t>
      </w:r>
    </w:p>
    <w:p>
      <w:r>
        <w:t>--- 问题 19 ---</w:t>
      </w:r>
    </w:p>
    <w:p>
      <w:r>
        <w:t>编号：DSL-no_transfer_right-c6fe3a</w:t>
      </w:r>
    </w:p>
    <w:p>
      <w:r>
        <w:t>严重程度：LOW | 条款类型：CONSENT_NOTICE</w:t>
      </w:r>
    </w:p>
    <w:p>
      <w:r>
        <w:t>标题：未说明数据可携带权</w:t>
      </w:r>
    </w:p>
    <w:p>
      <w:r>
        <w:t>问题类型：MISSING_REQUIREMENT</w:t>
      </w:r>
    </w:p>
    <w:p>
      <w:r>
        <w:t>原文摘录：个人信息出境标准合同</w:t>
        <w:br/>
        <w:t>甲方（个人信息处理者）：智付通科技有限公司。</w:t>
        <w:br/>
        <w:t>乙方（境外接收方）：星洲支付处理有限公司 (Starstate Payment Processing Pte. Ltd.)。</w:t>
        <w:br/>
        <w:t>出境目的：乙方为甲方提供跨境支付交易的风险筛查、欺诈监测、合规审计及资金结算所必需的数据处理服务。</w:t>
        <w:br/>
        <w:t>个人信息种类：姓名、国籍、身份证件号码、护照号码、支付账户标识、交易金额、交易时间、商户名称、银行卡号（加密后）、银行卡有效期（加密后）、交易IP地址、设备标识符、行为序列。</w:t>
        <w:br/>
        <w:t>处理方式：</w:t>
      </w:r>
    </w:p>
    <w:p>
      <w:r>
        <w:t>风险分析：未说明个人信息的转移/可携带权，《个人信息保护法》第45条规定个人有权请求将个人信息转移至其指定的处理者。 ｜ 引用相关性警告：</w:t>
      </w:r>
    </w:p>
    <w:p>
      <w:r>
        <w:t>法规依据：《个人信息保护法》第39条；《个人信息保护法》第15条；《中华人民共和国网络安全法（2025修正）》第十三条；《中华人民共和国网络安全法（2025修正）》第十条；《中华人民共和国网络安全法（2025修正）》第二十四条；《中华人民共和国网络安全法（2025修正）》第一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pPr>
        <w:pStyle w:val="Heading1"/>
      </w:pPr>
      <w:r>
        <w:t>七、优先整改路线图</w:t>
      </w:r>
    </w:p>
    <w:p>
      <w:r>
        <w:t>优先整改 7 项高风险问题，重点涉及单独同意、境外接收方信息、数据出境说明等内容。</w:t>
      </w:r>
    </w:p>
    <w:p>
      <w:r>
        <w:t>补充 2 项全局缺失的必备条款：缺少再转移限制条款/说明、缺少委托处理条款/说明</w:t>
      </w:r>
    </w:p>
    <w:p>
      <w:r>
        <w:t>关注 11 项中风险问题，补充安全措施、权利行使、数据处理范围等相关条款。</w:t>
      </w:r>
    </w:p>
    <w:p>
      <w:pPr>
        <w:pStyle w:val="Heading1"/>
      </w:pPr>
      <w:r>
        <w:t>八、法规依据汇总</w:t>
      </w:r>
    </w:p>
    <w:p>
      <w:r>
        <w:t xml:space="preserve">  《个人信息保护法》第39条：《个人信息保护法》第39条</w:t>
      </w:r>
    </w:p>
    <w:p>
      <w:r>
        <w:t xml:space="preserve">  《个人信息保护法》第15条：《个人信息保护法》第15条</w:t>
      </w:r>
    </w:p>
    <w:p>
      <w:r>
        <w:t xml:space="preserve">  《中华人民共和国网络安全法（2025修正）》第十三条：《中华人民共和国网络安全法（2025修正）》第十三条</w:t>
      </w:r>
    </w:p>
    <w:p>
      <w:r>
        <w:t xml:space="preserve">  《中华人民共和国网络安全法（2025修正）》第十条：《中华人民共和国网络安全法（2025修正）》第十条</w:t>
      </w:r>
    </w:p>
    <w:p>
      <w:r>
        <w:t xml:space="preserve">  《中华人民共和国网络安全法（2025修正）》第二十四条：《中华人民共和国网络安全法（2025修正）》第二十四条</w:t>
      </w:r>
    </w:p>
    <w:p>
      <w:r>
        <w:t xml:space="preserve">  《中华人民共和国网络安全法（2025修正）》第一条：《中华人民共和国网络安全法（2025修正）》第一条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《个人权利请求处理义务》个人权利请求处理义务：收到个人权利请求后，应及时响应，不得以笼统酌情或视情况为由无限期暂缓处理。</w:t>
      </w:r>
    </w:p>
    <w:p>
      <w:r>
        <w:t xml:space="preserve">  《中华人民共和国网络安全法（2025修正）》第二条：第二条 在中华人民共和国境内建设、运营、维护和使用网络，以及网络安全的监督管理，适用本法。</w:t>
      </w:r>
    </w:p>
    <w:p>
      <w:r>
        <w:t xml:space="preserve">  《个人信息保护法》第38条：《个人信息保护法》第38条</w:t>
      </w:r>
    </w:p>
    <w:p>
      <w:r>
        <w:t xml:space="preserve">  《数据安全法》第27条：《数据安全法》第27条</w:t>
      </w:r>
    </w:p>
    <w:p>
      <w:pPr>
        <w:pStyle w:val="Heading1"/>
      </w:pPr>
      <w:r>
        <w:t>九、审查边界与置信度说明</w:t>
      </w:r>
    </w:p>
    <w:p>
      <w:r>
        <w:t>本报告基于以下方法生成，请阅读以下说明以正确理解报告内容：</w:t>
      </w:r>
    </w:p>
    <w:p/>
    <w:p>
      <w:r>
        <w:t>一、已确认问题（12 项）</w:t>
      </w:r>
    </w:p>
    <w:p>
      <w:r>
        <w:t xml:space="preserve">   基于文档原文和法规规则直接识别的合规问题，具有较高置信度。</w:t>
      </w:r>
    </w:p>
    <w:p>
      <w:r>
        <w:t xml:space="preserve">   这些问题通常有明确的法规条文支撑，可直接作为合规整改依据。</w:t>
      </w:r>
    </w:p>
    <w:p>
      <w:r>
        <w:t>二、待确认风险（7 项）</w:t>
      </w:r>
    </w:p>
    <w:p>
      <w:r>
        <w:t xml:space="preserve">   基于条件性表述、缺失信息或用户补充背景推断的风险。</w:t>
      </w:r>
    </w:p>
    <w:p>
      <w:r>
        <w:t xml:space="preserve">   需要企业进一步确认相关事实后才能确定性判断。</w:t>
      </w:r>
    </w:p>
    <w:p>
      <w:r>
        <w:t xml:space="preserve">   - 个人信息出境目的不明确: 由于业务场景描述中提到了跨境支付交易的风险筛查、欺诈监测、合规审计及资金结算，但未在合同中明确列出，因此存在不确定性。</w:t>
      </w:r>
    </w:p>
    <w:p>
      <w:r>
        <w:t xml:space="preserve">   - 个人信息数量可能超出限制: 由于业务场景中提到预计初始年度涉及的个人信息主体不超过50万人，但实际数量可能更多，因此存在不确定性。</w:t>
      </w:r>
    </w:p>
    <w:p>
      <w:r>
        <w:t xml:space="preserve">   - 争议解决机制: 仲裁的具体适用法律和程序可能存在不确定因素，需要进一步确认。</w:t>
      </w:r>
    </w:p>
    <w:p>
      <w:r>
        <w:t>三、低置信度问题（0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审查完成时间：2026-06-06T22:28:00.654193</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