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“认证/标准合同路径”测试案例及预期输出</w:t>
      </w:r>
    </w:p>
    <w:p>
      <w:pPr>
        <w:pStyle w:val="3"/>
        <w:spacing w:before="300" w:after="120" w:line="288" w:lineRule="auto"/>
        <w:ind w:left="0"/>
        <w:jc w:val="left"/>
        <w:outlineLvl w:val="2"/>
      </w:pPr>
      <w:bookmarkStart w:name="heading_0" w:id="0"/>
      <w:r>
        <w:rPr>
          <w:rFonts w:eastAsia="等线" w:ascii="Arial" w:cs="Arial" w:hAnsi="Arial"/>
          <w:b w:val="true"/>
          <w:sz w:val="30"/>
        </w:rPr>
        <w:t xml:space="preserve">测试案例一：跨境电商平台会员营销数据出境（标准合同路径） </w:t>
      </w:r>
      <w:bookmarkEnd w:id="0"/>
    </w:p>
    <w:p>
      <w:pPr>
        <w:spacing w:before="120" w:after="120" w:line="288" w:lineRule="auto"/>
        <w:ind w:left="0"/>
        <w:jc w:val="left"/>
      </w:pPr>
      <w:r>
        <w:rPr>
          <w:rFonts w:eastAsia="等线" w:ascii="Arial" w:cs="Arial" w:hAnsi="Arial"/>
          <w:b w:val="true"/>
          <w:sz w:val="22"/>
        </w:rPr>
        <w:t>场景背景</w:t>
      </w:r>
      <w:r>
        <w:rPr>
          <w:rFonts w:eastAsia="等线" w:ascii="Arial" w:cs="Arial" w:hAnsi="Arial"/>
          <w:sz w:val="22"/>
        </w:rPr>
        <w:t>：“海淘优选”（非CIIO）是一家面向中国消费者的跨境电商平台，计划将其中国大陆的800万注册会员中的约50万高价值会员（年消费超万元）的偏好标签、浏览历史（去标识化设备ID）和部分订单摘要（不含直接联系信息）传输至其位于新加坡的亚太运营中心，用于精准营销和区域市场分析。</w:t>
      </w:r>
    </w:p>
    <w:p>
      <w:pPr>
        <w:spacing w:before="120" w:after="120" w:line="288" w:lineRule="auto"/>
        <w:ind w:left="0"/>
        <w:jc w:val="left"/>
      </w:pPr>
      <w:r>
        <w:rPr>
          <w:rFonts w:eastAsia="等线" w:ascii="Arial" w:cs="Arial" w:hAnsi="Arial"/>
          <w:b w:val="true"/>
          <w:sz w:val="22"/>
        </w:rPr>
        <w:t>用户输入详情</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b w:val="true"/>
          <w:sz w:val="22"/>
        </w:rPr>
        <w:t>A. 处理者与出境活动基础信息</w:t>
      </w:r>
    </w:p>
    <w:p>
      <w:pPr>
        <w:numPr>
          <w:numId w:val="2"/>
        </w:numPr>
        <w:spacing w:before="120" w:after="120" w:line="288" w:lineRule="auto"/>
        <w:ind w:left="453"/>
        <w:jc w:val="left"/>
      </w:pPr>
      <w:r>
        <w:rPr>
          <w:rFonts w:eastAsia="等线" w:ascii="Arial" w:cs="Arial" w:hAnsi="Arial"/>
          <w:b w:val="true"/>
          <w:sz w:val="22"/>
        </w:rPr>
        <w:t>处理者</w:t>
      </w:r>
      <w:r>
        <w:rPr>
          <w:rFonts w:eastAsia="等线" w:ascii="Arial" w:cs="Arial" w:hAnsi="Arial"/>
          <w:sz w:val="22"/>
        </w:rPr>
        <w:t>：海淘优选（杭州）科技有限公司。</w:t>
      </w:r>
    </w:p>
    <w:p>
      <w:pPr>
        <w:numPr>
          <w:numId w:val="3"/>
        </w:numPr>
        <w:spacing w:before="120" w:after="120" w:line="288" w:lineRule="auto"/>
        <w:ind w:left="453"/>
        <w:jc w:val="left"/>
      </w:pPr>
      <w:r>
        <w:rPr>
          <w:rFonts w:eastAsia="等线" w:ascii="Arial" w:cs="Arial" w:hAnsi="Arial"/>
          <w:b w:val="true"/>
          <w:sz w:val="22"/>
        </w:rPr>
        <w:t>出境目的</w:t>
      </w:r>
      <w:r>
        <w:rPr>
          <w:rFonts w:eastAsia="等线" w:ascii="Arial" w:cs="Arial" w:hAnsi="Arial"/>
          <w:sz w:val="22"/>
        </w:rPr>
        <w:t>：为高价值会员提供个性化的商品推荐和营销活动，提升用户体验和复购率。</w:t>
      </w:r>
    </w:p>
    <w:p>
      <w:pPr>
        <w:numPr>
          <w:numId w:val="4"/>
        </w:numPr>
        <w:spacing w:before="120" w:after="120" w:line="288" w:lineRule="auto"/>
        <w:ind w:left="453"/>
        <w:jc w:val="left"/>
      </w:pPr>
      <w:r>
        <w:rPr>
          <w:rFonts w:eastAsia="等线" w:ascii="Arial" w:cs="Arial" w:hAnsi="Arial"/>
          <w:b w:val="true"/>
          <w:sz w:val="22"/>
        </w:rPr>
        <w:t>合法性基础</w:t>
      </w:r>
      <w:r>
        <w:rPr>
          <w:rFonts w:eastAsia="等线" w:ascii="Arial" w:cs="Arial" w:hAnsi="Arial"/>
          <w:sz w:val="22"/>
        </w:rPr>
        <w:t>：用户声称已在《隐私政策》中告知并向用户获取了“向关联方共享个人信息用于营销”的</w:t>
      </w:r>
      <w:r>
        <w:rPr>
          <w:rFonts w:eastAsia="等线" w:ascii="Arial" w:cs="Arial" w:hAnsi="Arial"/>
          <w:b w:val="true"/>
          <w:sz w:val="22"/>
        </w:rPr>
        <w:t>单独同意</w:t>
      </w:r>
      <w:r>
        <w:rPr>
          <w:rFonts w:eastAsia="等线" w:ascii="Arial" w:cs="Arial" w:hAnsi="Arial"/>
          <w:sz w:val="22"/>
        </w:rPr>
        <w:t>。合法性论证为“基于个人同意”以及“为履行与用户之间的服务合同（提供个性化服务）所必需”。</w:t>
      </w:r>
    </w:p>
    <w:p>
      <w:pPr>
        <w:numPr>
          <w:numId w:val="5"/>
        </w:numPr>
        <w:spacing w:before="120" w:after="120" w:line="288" w:lineRule="auto"/>
        <w:ind w:left="453"/>
        <w:jc w:val="left"/>
      </w:pPr>
      <w:r>
        <w:rPr>
          <w:rFonts w:eastAsia="等线" w:ascii="Arial" w:cs="Arial" w:hAnsi="Arial"/>
          <w:b w:val="true"/>
          <w:sz w:val="22"/>
        </w:rPr>
        <w:t>风险点1</w:t>
      </w:r>
      <w:r>
        <w:rPr>
          <w:rFonts w:eastAsia="等线" w:ascii="Arial" w:cs="Arial" w:hAnsi="Arial"/>
          <w:sz w:val="22"/>
        </w:rPr>
        <w:t>：隐私政策中关于“关联方”的列举</w:t>
      </w:r>
      <w:r>
        <w:rPr>
          <w:rFonts w:eastAsia="等线" w:ascii="Arial" w:cs="Arial" w:hAnsi="Arial"/>
          <w:b w:val="true"/>
          <w:sz w:val="22"/>
        </w:rPr>
        <w:t>未明确列出新加坡运营中心的具体名称和所在地</w:t>
      </w:r>
      <w:r>
        <w:rPr>
          <w:rFonts w:eastAsia="等线" w:ascii="Arial" w:cs="Arial" w:hAnsi="Arial"/>
          <w:sz w:val="22"/>
        </w:rPr>
        <w:t>，仅表述为“关联公司”。</w:t>
      </w:r>
    </w:p>
    <w:p>
      <w:pPr>
        <w:numPr>
          <w:numId w:val="6"/>
        </w:numPr>
        <w:spacing w:before="120" w:after="120" w:line="288" w:lineRule="auto"/>
        <w:ind w:left="453"/>
        <w:jc w:val="left"/>
      </w:pPr>
      <w:r>
        <w:rPr>
          <w:rFonts w:eastAsia="等线" w:ascii="Arial" w:cs="Arial" w:hAnsi="Arial"/>
          <w:b w:val="true"/>
          <w:sz w:val="22"/>
        </w:rPr>
        <w:t>风险点2</w:t>
      </w:r>
      <w:r>
        <w:rPr>
          <w:rFonts w:eastAsia="等线" w:ascii="Arial" w:cs="Arial" w:hAnsi="Arial"/>
          <w:sz w:val="22"/>
        </w:rPr>
        <w:t>：“个性化服务”作为合同必要性的论证较为宽泛。</w:t>
      </w:r>
    </w:p>
    <w:p>
      <w:pPr>
        <w:numPr>
          <w:numId w:val="7"/>
        </w:numPr>
        <w:spacing w:before="120" w:after="120" w:line="288" w:lineRule="auto"/>
        <w:ind w:left="0"/>
        <w:jc w:val="left"/>
      </w:pPr>
      <w:r>
        <w:rPr>
          <w:rFonts w:eastAsia="等线" w:ascii="Arial" w:cs="Arial" w:hAnsi="Arial"/>
          <w:b w:val="true"/>
          <w:sz w:val="22"/>
        </w:rPr>
        <w:t>B. 出境个人信息清单</w:t>
      </w:r>
    </w:p>
    <w:p>
      <w:pPr>
        <w:numPr>
          <w:numId w:val="8"/>
        </w:numPr>
        <w:spacing w:before="120" w:after="120" w:line="288" w:lineRule="auto"/>
        <w:ind w:left="453"/>
        <w:jc w:val="left"/>
      </w:pPr>
      <w:r>
        <w:rPr>
          <w:rFonts w:eastAsia="等线" w:ascii="Arial" w:cs="Arial" w:hAnsi="Arial"/>
          <w:sz w:val="22"/>
        </w:rPr>
        <w:t>上传的Excel清单包含字段：</w:t>
      </w:r>
      <w:r>
        <w:rPr>
          <w:rFonts w:eastAsia="Consolas" w:ascii="Consolas" w:cs="Consolas" w:hAnsi="Consolas"/>
          <w:sz w:val="22"/>
          <w:shd w:fill="EFF0F1"/>
        </w:rPr>
        <w:t>Member_Tier</w:t>
      </w:r>
      <w:r>
        <w:rPr>
          <w:rFonts w:eastAsia="等线" w:ascii="Arial" w:cs="Arial" w:hAnsi="Arial"/>
          <w:sz w:val="22"/>
        </w:rPr>
        <w:t xml:space="preserve">， </w:t>
      </w:r>
      <w:r>
        <w:rPr>
          <w:rFonts w:eastAsia="Consolas" w:ascii="Consolas" w:cs="Consolas" w:hAnsi="Consolas"/>
          <w:sz w:val="22"/>
          <w:shd w:fill="EFF0F1"/>
        </w:rPr>
        <w:t>Hashed_Device_ID</w:t>
      </w:r>
      <w:r>
        <w:rPr>
          <w:rFonts w:eastAsia="等线" w:ascii="Arial" w:cs="Arial" w:hAnsi="Arial"/>
          <w:sz w:val="22"/>
        </w:rPr>
        <w:t xml:space="preserve">， </w:t>
      </w:r>
      <w:r>
        <w:rPr>
          <w:rFonts w:eastAsia="Consolas" w:ascii="Consolas" w:cs="Consolas" w:hAnsi="Consolas"/>
          <w:sz w:val="22"/>
          <w:shd w:fill="EFF0F1"/>
        </w:rPr>
        <w:t>Product_Category_Preference</w:t>
      </w:r>
      <w:r>
        <w:rPr>
          <w:rFonts w:eastAsia="等线" w:ascii="Arial" w:cs="Arial" w:hAnsi="Arial"/>
          <w:sz w:val="22"/>
        </w:rPr>
        <w:t xml:space="preserve">， </w:t>
      </w:r>
      <w:r>
        <w:rPr>
          <w:rFonts w:eastAsia="Consolas" w:ascii="Consolas" w:cs="Consolas" w:hAnsi="Consolas"/>
          <w:sz w:val="22"/>
          <w:shd w:fill="EFF0F1"/>
        </w:rPr>
        <w:t>Last_Purchase_Amount</w:t>
      </w:r>
      <w:r>
        <w:rPr>
          <w:rFonts w:eastAsia="等线" w:ascii="Arial" w:cs="Arial" w:hAnsi="Arial"/>
          <w:sz w:val="22"/>
        </w:rPr>
        <w:t xml:space="preserve">， </w:t>
      </w:r>
      <w:r>
        <w:rPr>
          <w:rFonts w:eastAsia="Consolas" w:ascii="Consolas" w:cs="Consolas" w:hAnsi="Consolas"/>
          <w:sz w:val="22"/>
          <w:shd w:fill="EFF0F1"/>
        </w:rPr>
        <w:t>Avg_Monthly_Browse_Count</w:t>
      </w:r>
      <w:r>
        <w:rPr>
          <w:rFonts w:eastAsia="等线" w:ascii="Arial" w:cs="Arial" w:hAnsi="Arial"/>
          <w:sz w:val="22"/>
        </w:rPr>
        <w:t>。</w:t>
      </w:r>
    </w:p>
    <w:p>
      <w:pPr>
        <w:numPr>
          <w:numId w:val="9"/>
        </w:numPr>
        <w:spacing w:before="120" w:after="120" w:line="288" w:lineRule="auto"/>
        <w:ind w:left="453"/>
        <w:jc w:val="left"/>
      </w:pPr>
      <w:r>
        <w:rPr>
          <w:rFonts w:eastAsia="等线" w:ascii="Arial" w:cs="Arial" w:hAnsi="Arial"/>
          <w:b w:val="true"/>
          <w:sz w:val="22"/>
        </w:rPr>
        <w:t>风险点3</w:t>
      </w:r>
      <w:r>
        <w:rPr>
          <w:rFonts w:eastAsia="等线" w:ascii="Arial" w:cs="Arial" w:hAnsi="Arial"/>
          <w:sz w:val="22"/>
        </w:rPr>
        <w:t>：</w:t>
      </w:r>
      <w:r>
        <w:rPr>
          <w:rFonts w:eastAsia="Consolas" w:ascii="Consolas" w:cs="Consolas" w:hAnsi="Consolas"/>
          <w:sz w:val="22"/>
          <w:shd w:fill="EFF0F1"/>
        </w:rPr>
        <w:t>Hashed_Device_ID</w:t>
      </w:r>
      <w:r>
        <w:rPr>
          <w:rFonts w:eastAsia="等线" w:ascii="Arial" w:cs="Arial" w:hAnsi="Arial"/>
          <w:sz w:val="22"/>
        </w:rPr>
        <w:t>字段，用户在“是否个人信息”栏选择“否”，并在描述中注明“经单向散列处理，无法复原”。但未提供哈希算法和防碰撞分析报告。</w:t>
      </w:r>
    </w:p>
    <w:p>
      <w:pPr>
        <w:numPr>
          <w:numId w:val="10"/>
        </w:numPr>
        <w:spacing w:before="120" w:after="120" w:line="288" w:lineRule="auto"/>
        <w:ind w:left="453"/>
        <w:jc w:val="left"/>
      </w:pPr>
      <w:r>
        <w:rPr>
          <w:rFonts w:eastAsia="等线" w:ascii="Arial" w:cs="Arial" w:hAnsi="Arial"/>
          <w:b w:val="true"/>
          <w:sz w:val="22"/>
        </w:rPr>
        <w:t>风险点4</w:t>
      </w:r>
      <w:r>
        <w:rPr>
          <w:rFonts w:eastAsia="等线" w:ascii="Arial" w:cs="Arial" w:hAnsi="Arial"/>
          <w:sz w:val="22"/>
        </w:rPr>
        <w:t>：</w:t>
      </w:r>
      <w:r>
        <w:rPr>
          <w:rFonts w:eastAsia="Consolas" w:ascii="Consolas" w:cs="Consolas" w:hAnsi="Consolas"/>
          <w:sz w:val="22"/>
          <w:shd w:fill="EFF0F1"/>
        </w:rPr>
        <w:t>Product_Category_Preference</w:t>
      </w:r>
      <w:r>
        <w:rPr>
          <w:rFonts w:eastAsia="等线" w:ascii="Arial" w:cs="Arial" w:hAnsi="Arial"/>
          <w:sz w:val="22"/>
        </w:rPr>
        <w:t>字段包含“母婴用品”、“医疗保健品”等可能推断出个人敏感状况的标签，但用户在“是否敏感个人信息”栏选择“否”。</w:t>
      </w:r>
    </w:p>
    <w:p>
      <w:pPr>
        <w:numPr>
          <w:numId w:val="11"/>
        </w:numPr>
        <w:spacing w:before="120" w:after="120" w:line="288" w:lineRule="auto"/>
        <w:ind w:left="0"/>
        <w:jc w:val="left"/>
      </w:pPr>
      <w:r>
        <w:rPr>
          <w:rFonts w:eastAsia="等线" w:ascii="Arial" w:cs="Arial" w:hAnsi="Arial"/>
          <w:b w:val="true"/>
          <w:sz w:val="22"/>
        </w:rPr>
        <w:t>C. 系统与存储信息</w:t>
      </w:r>
    </w:p>
    <w:p>
      <w:pPr>
        <w:numPr>
          <w:numId w:val="12"/>
        </w:numPr>
        <w:spacing w:before="120" w:after="120" w:line="288" w:lineRule="auto"/>
        <w:ind w:left="453"/>
        <w:jc w:val="left"/>
      </w:pPr>
      <w:r>
        <w:rPr>
          <w:rFonts w:eastAsia="等线" w:ascii="Arial" w:cs="Arial" w:hAnsi="Arial"/>
          <w:sz w:val="22"/>
        </w:rPr>
        <w:t>数据从杭州阿里云RDS数据库，通过加密API同步至新加坡AWS的Redshift数据仓库。</w:t>
      </w:r>
    </w:p>
    <w:p>
      <w:pPr>
        <w:numPr>
          <w:numId w:val="13"/>
        </w:numPr>
        <w:spacing w:before="120" w:after="120" w:line="288" w:lineRule="auto"/>
        <w:ind w:left="0"/>
        <w:jc w:val="left"/>
      </w:pPr>
      <w:r>
        <w:rPr>
          <w:rFonts w:eastAsia="等线" w:ascii="Arial" w:cs="Arial" w:hAnsi="Arial"/>
          <w:b w:val="true"/>
          <w:sz w:val="22"/>
        </w:rPr>
        <w:t>D. 境外接收方信息</w:t>
      </w:r>
    </w:p>
    <w:p>
      <w:pPr>
        <w:numPr>
          <w:numId w:val="14"/>
        </w:numPr>
        <w:spacing w:before="120" w:after="120" w:line="288" w:lineRule="auto"/>
        <w:ind w:left="453"/>
        <w:jc w:val="left"/>
      </w:pPr>
      <w:r>
        <w:rPr>
          <w:rFonts w:eastAsia="等线" w:ascii="Arial" w:cs="Arial" w:hAnsi="Arial"/>
          <w:sz w:val="22"/>
        </w:rPr>
        <w:t>接收方：SeaCommerce Pte. Ltd.（新加坡），为海淘优选的全资子公司。</w:t>
      </w:r>
    </w:p>
    <w:p>
      <w:pPr>
        <w:numPr>
          <w:numId w:val="15"/>
        </w:numPr>
        <w:spacing w:before="120" w:after="120" w:line="288" w:lineRule="auto"/>
        <w:ind w:left="453"/>
        <w:jc w:val="left"/>
      </w:pPr>
      <w:r>
        <w:rPr>
          <w:rFonts w:eastAsia="等线" w:ascii="Arial" w:cs="Arial" w:hAnsi="Arial"/>
          <w:sz w:val="22"/>
        </w:rPr>
        <w:t>安全能力描述：声称符合新加坡PDPA，但</w:t>
      </w:r>
      <w:r>
        <w:rPr>
          <w:rFonts w:eastAsia="等线" w:ascii="Arial" w:cs="Arial" w:hAnsi="Arial"/>
          <w:b w:val="true"/>
          <w:sz w:val="22"/>
        </w:rPr>
        <w:t>未提供任何第三方审计报告或认证证书</w:t>
      </w:r>
      <w:r>
        <w:rPr>
          <w:rFonts w:eastAsia="等线" w:ascii="Arial" w:cs="Arial" w:hAnsi="Arial"/>
          <w:sz w:val="22"/>
        </w:rPr>
        <w:t>。</w:t>
      </w:r>
    </w:p>
    <w:p>
      <w:pPr>
        <w:numPr>
          <w:numId w:val="16"/>
        </w:numPr>
        <w:spacing w:before="120" w:after="120" w:line="288" w:lineRule="auto"/>
        <w:ind w:left="0"/>
        <w:jc w:val="left"/>
      </w:pPr>
      <w:r>
        <w:rPr>
          <w:rFonts w:eastAsia="等线" w:ascii="Arial" w:cs="Arial" w:hAnsi="Arial"/>
          <w:b w:val="true"/>
          <w:sz w:val="22"/>
        </w:rPr>
        <w:t>E. 法律文件</w:t>
      </w:r>
    </w:p>
    <w:p>
      <w:pPr>
        <w:numPr>
          <w:numId w:val="17"/>
        </w:numPr>
        <w:spacing w:before="120" w:after="120" w:line="288" w:lineRule="auto"/>
        <w:ind w:left="453"/>
        <w:jc w:val="left"/>
      </w:pPr>
      <w:r>
        <w:rPr>
          <w:rFonts w:eastAsia="等线" w:ascii="Arial" w:cs="Arial" w:hAnsi="Arial"/>
          <w:sz w:val="22"/>
        </w:rPr>
        <w:t>上传了与新加坡子公司签署的《数据跨境处理协议》，但</w:t>
      </w:r>
      <w:r>
        <w:rPr>
          <w:rFonts w:eastAsia="等线" w:ascii="Arial" w:cs="Arial" w:hAnsi="Arial"/>
          <w:b w:val="true"/>
          <w:sz w:val="22"/>
        </w:rPr>
        <w:t>经系统解析，缺少关于“境外接收方所在国家/地区法律政策变化应对”的条款</w:t>
      </w:r>
      <w:r>
        <w:rPr>
          <w:rFonts w:eastAsia="等线" w:ascii="Arial" w:cs="Arial" w:hAnsi="Arial"/>
          <w:sz w:val="22"/>
        </w:rPr>
        <w:t>，也未明确约定接收方需定期提供安全审计报告。</w:t>
      </w:r>
    </w:p>
    <w:p>
      <w:pPr>
        <w:numPr>
          <w:numId w:val="18"/>
        </w:numPr>
        <w:spacing w:before="120" w:after="120" w:line="288" w:lineRule="auto"/>
        <w:ind w:left="0"/>
        <w:jc w:val="left"/>
      </w:pPr>
      <w:r>
        <w:rPr>
          <w:rFonts w:eastAsia="等线" w:ascii="Arial" w:cs="Arial" w:hAnsi="Arial"/>
          <w:b w:val="true"/>
          <w:sz w:val="22"/>
        </w:rPr>
        <w:t>F. 合规证据</w:t>
      </w:r>
    </w:p>
    <w:p>
      <w:pPr>
        <w:numPr>
          <w:numId w:val="19"/>
        </w:numPr>
        <w:spacing w:before="120" w:after="120" w:line="288" w:lineRule="auto"/>
        <w:ind w:left="453"/>
        <w:jc w:val="left"/>
      </w:pPr>
      <w:r>
        <w:rPr>
          <w:rFonts w:eastAsia="等线" w:ascii="Arial" w:cs="Arial" w:hAnsi="Arial"/>
          <w:sz w:val="22"/>
        </w:rPr>
        <w:t>上传了一份“用户同意记录查询截图”，显示有同意时间戳。但</w:t>
      </w:r>
      <w:r>
        <w:rPr>
          <w:rFonts w:eastAsia="等线" w:ascii="Arial" w:cs="Arial" w:hAnsi="Arial"/>
          <w:b w:val="true"/>
          <w:sz w:val="22"/>
        </w:rPr>
        <w:t>无法提供覆盖全部50万目标用户的批量同意记录清单或统计报告</w:t>
      </w:r>
      <w:r>
        <w:rPr>
          <w:rFonts w:eastAsia="等线" w:ascii="Arial" w:cs="Arial" w:hAnsi="Arial"/>
          <w:sz w:val="22"/>
        </w:rPr>
        <w:t>。</w:t>
      </w:r>
    </w:p>
    <w:p>
      <w:pPr>
        <w:numPr>
          <w:numId w:val="20"/>
        </w:numPr>
        <w:spacing w:before="120" w:after="120" w:line="288" w:lineRule="auto"/>
        <w:ind w:left="453"/>
        <w:jc w:val="left"/>
      </w:pPr>
      <w:r>
        <w:rPr>
          <w:rFonts w:eastAsia="等线" w:ascii="Arial" w:cs="Arial" w:hAnsi="Arial"/>
          <w:sz w:val="22"/>
        </w:rPr>
        <w:t>上传了《个人信息安全管理制度》，但版本较旧（2023年）。</w:t>
      </w:r>
    </w:p>
    <w:p>
      <w:pPr>
        <w:numPr>
          <w:numId w:val="21"/>
        </w:numPr>
        <w:spacing w:before="120" w:after="120" w:line="288" w:lineRule="auto"/>
        <w:ind w:left="0"/>
        <w:jc w:val="left"/>
      </w:pPr>
      <w:r>
        <w:rPr>
          <w:rFonts w:eastAsia="等线" w:ascii="Arial" w:cs="Arial" w:hAnsi="Arial"/>
          <w:b w:val="true"/>
          <w:sz w:val="22"/>
        </w:rPr>
        <w:t>G. 自我评估与整改情况</w:t>
      </w:r>
    </w:p>
    <w:p>
      <w:pPr>
        <w:numPr>
          <w:numId w:val="22"/>
        </w:numPr>
        <w:spacing w:before="120" w:after="120" w:line="288" w:lineRule="auto"/>
        <w:ind w:left="453"/>
        <w:jc w:val="left"/>
      </w:pPr>
      <w:r>
        <w:rPr>
          <w:rFonts w:eastAsia="等线" w:ascii="Arial" w:cs="Arial" w:hAnsi="Arial"/>
          <w:sz w:val="22"/>
        </w:rPr>
        <w:t>在引导式评估清单中，对“数据最小化”原则勾选“部分符合”，说明是“已去标识化，但字段范围可能可进一步精简，待评估”。</w:t>
      </w:r>
    </w:p>
    <w:p>
      <w:pPr>
        <w:spacing w:before="120" w:after="120" w:line="288" w:lineRule="auto"/>
        <w:ind w:left="0"/>
        <w:jc w:val="left"/>
      </w:pPr>
      <w:r>
        <w:rPr>
          <w:rFonts w:eastAsia="等线" w:ascii="Arial" w:cs="Arial" w:hAnsi="Arial"/>
          <w:b w:val="true"/>
          <w:sz w:val="22"/>
        </w:rPr>
        <w:t>预期输出</w:t>
      </w:r>
      <w:r>
        <w:rPr>
          <w:rFonts w:eastAsia="等线" w:ascii="Arial" w:cs="Arial" w:hAnsi="Arial"/>
          <w:sz w:val="22"/>
        </w:rPr>
        <w:t>：</w:t>
      </w:r>
    </w:p>
    <w:p>
      <w:pPr>
        <w:numPr>
          <w:numId w:val="23"/>
        </w:numPr>
        <w:spacing w:before="120" w:after="120" w:line="288" w:lineRule="auto"/>
        <w:ind w:left="0"/>
        <w:jc w:val="left"/>
      </w:pPr>
      <w:r>
        <w:rPr>
          <w:rFonts w:eastAsia="等线" w:ascii="Arial" w:cs="Arial" w:hAnsi="Arial"/>
          <w:b w:val="true"/>
          <w:sz w:val="22"/>
        </w:rPr>
        <w:t>核心结论</w:t>
      </w:r>
      <w:r>
        <w:rPr>
          <w:rFonts w:eastAsia="等线" w:ascii="Arial" w:cs="Arial" w:hAnsi="Arial"/>
          <w:sz w:val="22"/>
        </w:rPr>
        <w:t>：初步判断适用于“订立个人信息出境标准合同”路径（累计向境外提供50万一般个人信息）。但</w:t>
      </w:r>
      <w:r>
        <w:rPr>
          <w:rFonts w:eastAsia="等线" w:ascii="Arial" w:cs="Arial" w:hAnsi="Arial"/>
          <w:b w:val="true"/>
          <w:sz w:val="22"/>
        </w:rPr>
        <w:t>存在多项待整改的合规缺陷</w:t>
      </w:r>
      <w:r>
        <w:rPr>
          <w:rFonts w:eastAsia="等线" w:ascii="Arial" w:cs="Arial" w:hAnsi="Arial"/>
          <w:sz w:val="22"/>
        </w:rPr>
        <w:t>，需完成整改后方可正式订立合同并备案。</w:t>
      </w:r>
    </w:p>
    <w:p>
      <w:pPr>
        <w:numPr>
          <w:numId w:val="24"/>
        </w:numPr>
        <w:spacing w:before="120" w:after="120" w:line="288" w:lineRule="auto"/>
        <w:ind w:left="0"/>
        <w:jc w:val="left"/>
      </w:pPr>
      <w:r>
        <w:rPr>
          <w:rFonts w:eastAsia="等线" w:ascii="Arial" w:cs="Arial" w:hAnsi="Arial"/>
          <w:b w:val="true"/>
          <w:sz w:val="22"/>
        </w:rPr>
        <w:t>生成的PIPIA报告（草案）关键内容</w:t>
      </w:r>
      <w:r>
        <w:rPr>
          <w:rFonts w:eastAsia="等线" w:ascii="Arial" w:cs="Arial" w:hAnsi="Arial"/>
          <w:sz w:val="22"/>
        </w:rPr>
        <w:t>：</w:t>
      </w:r>
    </w:p>
    <w:p>
      <w:pPr>
        <w:numPr>
          <w:numId w:val="25"/>
        </w:numPr>
        <w:spacing w:before="120" w:after="120" w:line="288" w:lineRule="auto"/>
        <w:ind w:left="453"/>
        <w:jc w:val="left"/>
      </w:pPr>
      <w:r>
        <w:rPr>
          <w:rFonts w:eastAsia="等线" w:ascii="Arial" w:cs="Arial" w:hAnsi="Arial"/>
          <w:b w:val="true"/>
          <w:sz w:val="22"/>
        </w:rPr>
        <w:t>数据规模与种类</w:t>
      </w:r>
      <w:r>
        <w:rPr>
          <w:rFonts w:eastAsia="等线" w:ascii="Arial" w:cs="Arial" w:hAnsi="Arial"/>
          <w:sz w:val="22"/>
        </w:rPr>
        <w:t>：系统根据Excel清单自动统计人数（50万），但</w:t>
      </w:r>
      <w:r>
        <w:rPr>
          <w:rFonts w:eastAsia="等线" w:ascii="Arial" w:cs="Arial" w:hAnsi="Arial"/>
          <w:b w:val="true"/>
          <w:sz w:val="22"/>
        </w:rPr>
        <w:t>高亮提示</w:t>
      </w:r>
      <w:r>
        <w:rPr>
          <w:rFonts w:eastAsia="Consolas" w:ascii="Consolas" w:cs="Consolas" w:hAnsi="Consolas"/>
          <w:sz w:val="22"/>
          <w:shd w:fill="EFF0F1"/>
        </w:rPr>
        <w:t>Hashed_Device_ID</w:t>
      </w:r>
      <w:r>
        <w:rPr>
          <w:rFonts w:eastAsia="等线" w:ascii="Arial" w:cs="Arial" w:hAnsi="Arial"/>
          <w:sz w:val="22"/>
        </w:rPr>
        <w:t>的重标识化风险及</w:t>
      </w:r>
      <w:r>
        <w:rPr>
          <w:rFonts w:eastAsia="Consolas" w:ascii="Consolas" w:cs="Consolas" w:hAnsi="Consolas"/>
          <w:sz w:val="22"/>
          <w:shd w:fill="EFF0F1"/>
        </w:rPr>
        <w:t>Product_Category_Preference</w:t>
      </w:r>
      <w:r>
        <w:rPr>
          <w:rFonts w:eastAsia="等线" w:ascii="Arial" w:cs="Arial" w:hAnsi="Arial"/>
          <w:sz w:val="22"/>
        </w:rPr>
        <w:t>被认定为敏感个人信息的可能性，要求企业重新评估和确认。</w:t>
      </w:r>
    </w:p>
    <w:p>
      <w:pPr>
        <w:numPr>
          <w:numId w:val="26"/>
        </w:numPr>
        <w:spacing w:before="120" w:after="120" w:line="288" w:lineRule="auto"/>
        <w:ind w:left="453"/>
        <w:jc w:val="left"/>
      </w:pPr>
      <w:r>
        <w:rPr>
          <w:rFonts w:eastAsia="等线" w:ascii="Arial" w:cs="Arial" w:hAnsi="Arial"/>
          <w:b w:val="true"/>
          <w:sz w:val="22"/>
        </w:rPr>
        <w:t>合法性、正当性、必要性</w:t>
      </w:r>
      <w:r>
        <w:rPr>
          <w:rFonts w:eastAsia="等线" w:ascii="Arial" w:cs="Arial" w:hAnsi="Arial"/>
          <w:sz w:val="22"/>
        </w:rPr>
        <w:t>：指出当前告知不充分（接收方不明确）、必要性论证薄弱的问题。</w:t>
      </w:r>
    </w:p>
    <w:p>
      <w:pPr>
        <w:numPr>
          <w:numId w:val="27"/>
        </w:numPr>
        <w:spacing w:before="120" w:after="120" w:line="288" w:lineRule="auto"/>
        <w:ind w:left="453"/>
        <w:jc w:val="left"/>
      </w:pPr>
      <w:r>
        <w:rPr>
          <w:rFonts w:eastAsia="等线" w:ascii="Arial" w:cs="Arial" w:hAnsi="Arial"/>
          <w:b w:val="true"/>
          <w:sz w:val="22"/>
        </w:rPr>
        <w:t>境外接收方</w:t>
      </w:r>
      <w:r>
        <w:rPr>
          <w:rFonts w:eastAsia="等线" w:ascii="Arial" w:cs="Arial" w:hAnsi="Arial"/>
          <w:sz w:val="22"/>
        </w:rPr>
        <w:t>：指出其安全能力证明不足，构成风险。</w:t>
      </w:r>
    </w:p>
    <w:p>
      <w:pPr>
        <w:numPr>
          <w:numId w:val="28"/>
        </w:numPr>
        <w:spacing w:before="120" w:after="120" w:line="288" w:lineRule="auto"/>
        <w:ind w:left="453"/>
        <w:jc w:val="left"/>
      </w:pPr>
      <w:r>
        <w:rPr>
          <w:rFonts w:eastAsia="等线" w:ascii="Arial" w:cs="Arial" w:hAnsi="Arial"/>
          <w:b w:val="true"/>
          <w:sz w:val="22"/>
        </w:rPr>
        <w:t>法律文件</w:t>
      </w:r>
      <w:r>
        <w:rPr>
          <w:rFonts w:eastAsia="等线" w:ascii="Arial" w:cs="Arial" w:hAnsi="Arial"/>
          <w:sz w:val="22"/>
        </w:rPr>
        <w:t>：明确列出缺失的核心条款。</w:t>
      </w:r>
    </w:p>
    <w:p>
      <w:pPr>
        <w:numPr>
          <w:numId w:val="29"/>
        </w:numPr>
        <w:spacing w:before="120" w:after="120" w:line="288" w:lineRule="auto"/>
        <w:ind w:left="453"/>
        <w:jc w:val="left"/>
      </w:pPr>
      <w:r>
        <w:rPr>
          <w:rFonts w:eastAsia="等线" w:ascii="Arial" w:cs="Arial" w:hAnsi="Arial"/>
          <w:b w:val="true"/>
          <w:sz w:val="22"/>
        </w:rPr>
        <w:t>合规证据</w:t>
      </w:r>
      <w:r>
        <w:rPr>
          <w:rFonts w:eastAsia="等线" w:ascii="Arial" w:cs="Arial" w:hAnsi="Arial"/>
          <w:sz w:val="22"/>
        </w:rPr>
        <w:t>：指出同意记录不完整、制度未及时更新的问题。</w:t>
      </w:r>
    </w:p>
    <w:p>
      <w:pPr>
        <w:numPr>
          <w:numId w:val="30"/>
        </w:numPr>
        <w:spacing w:before="120" w:after="120" w:line="288" w:lineRule="auto"/>
        <w:ind w:left="453"/>
        <w:jc w:val="left"/>
      </w:pPr>
      <w:r>
        <w:rPr>
          <w:rFonts w:eastAsia="等线" w:ascii="Arial" w:cs="Arial" w:hAnsi="Arial"/>
          <w:b w:val="true"/>
          <w:sz w:val="22"/>
        </w:rPr>
        <w:t>评估结论</w:t>
      </w:r>
      <w:r>
        <w:rPr>
          <w:rFonts w:eastAsia="等线" w:ascii="Arial" w:cs="Arial" w:hAnsi="Arial"/>
          <w:sz w:val="22"/>
        </w:rPr>
        <w:t>：总体风险中等偏高，必须在上述问题整改后风险方可接受。</w:t>
      </w:r>
    </w:p>
    <w:p>
      <w:pPr>
        <w:numPr>
          <w:numId w:val="31"/>
        </w:numPr>
        <w:spacing w:before="120" w:after="120" w:line="288" w:lineRule="auto"/>
        <w:ind w:left="0"/>
        <w:jc w:val="left"/>
      </w:pPr>
      <w:r>
        <w:rPr>
          <w:rFonts w:eastAsia="等线" w:ascii="Arial" w:cs="Arial" w:hAnsi="Arial"/>
          <w:b w:val="true"/>
          <w:sz w:val="22"/>
        </w:rPr>
        <w:t>《生成逻辑说明》中的重点提示</w:t>
      </w:r>
      <w:r>
        <w:rPr>
          <w:rFonts w:eastAsia="等线" w:ascii="Arial" w:cs="Arial" w:hAnsi="Arial"/>
          <w:sz w:val="22"/>
        </w:rPr>
        <w:t>：</w:t>
      </w:r>
    </w:p>
    <w:p>
      <w:pPr>
        <w:numPr>
          <w:numId w:val="32"/>
        </w:numPr>
        <w:spacing w:before="120" w:after="120" w:line="288" w:lineRule="auto"/>
        <w:ind w:left="453"/>
        <w:jc w:val="left"/>
      </w:pPr>
      <w:r>
        <w:rPr>
          <w:rFonts w:eastAsia="等线" w:ascii="Arial" w:cs="Arial" w:hAnsi="Arial"/>
          <w:b w:val="true"/>
          <w:sz w:val="22"/>
        </w:rPr>
        <w:t>高风险项</w:t>
      </w:r>
      <w:r>
        <w:rPr>
          <w:rFonts w:eastAsia="等线" w:ascii="Arial" w:cs="Arial" w:hAnsi="Arial"/>
          <w:sz w:val="22"/>
        </w:rPr>
        <w:t>：法律文件缺失关键条款、敏感信息识别存疑。</w:t>
      </w:r>
    </w:p>
    <w:p>
      <w:pPr>
        <w:numPr>
          <w:numId w:val="33"/>
        </w:numPr>
        <w:spacing w:before="120" w:after="120" w:line="288" w:lineRule="auto"/>
        <w:ind w:left="453"/>
        <w:jc w:val="left"/>
      </w:pPr>
      <w:r>
        <w:rPr>
          <w:rFonts w:eastAsia="等线" w:ascii="Arial" w:cs="Arial" w:hAnsi="Arial"/>
          <w:b w:val="true"/>
          <w:sz w:val="22"/>
        </w:rPr>
        <w:t>中风险项</w:t>
      </w:r>
      <w:r>
        <w:rPr>
          <w:rFonts w:eastAsia="等线" w:ascii="Arial" w:cs="Arial" w:hAnsi="Arial"/>
          <w:sz w:val="22"/>
        </w:rPr>
        <w:t>：告知不充分、接收方证明不足、同意记录不完整、哈希算法有效性未证明。</w:t>
      </w:r>
    </w:p>
    <w:p>
      <w:pPr>
        <w:numPr>
          <w:numId w:val="34"/>
        </w:numPr>
        <w:spacing w:before="120" w:after="120" w:line="288" w:lineRule="auto"/>
        <w:ind w:left="453"/>
        <w:jc w:val="left"/>
      </w:pPr>
      <w:r>
        <w:rPr>
          <w:rFonts w:eastAsia="等线" w:ascii="Arial" w:cs="Arial" w:hAnsi="Arial"/>
          <w:b w:val="true"/>
          <w:sz w:val="22"/>
        </w:rPr>
        <w:t>行动建议</w:t>
      </w:r>
      <w:r>
        <w:rPr>
          <w:rFonts w:eastAsia="等线" w:ascii="Arial" w:cs="Arial" w:hAnsi="Arial"/>
          <w:sz w:val="22"/>
        </w:rPr>
        <w:t>：修订隐私政策、补充法律文件条款、要求接收方提供安全认证、完善同意管理日志、评估并确认数据字段的敏感属性。</w:t>
      </w:r>
    </w:p>
    <w:p>
      <w:pPr>
        <w:pStyle w:val="3"/>
        <w:spacing w:before="300" w:after="120" w:line="288" w:lineRule="auto"/>
        <w:ind w:left="0"/>
        <w:jc w:val="left"/>
        <w:outlineLvl w:val="2"/>
      </w:pPr>
      <w:bookmarkStart w:name="heading_1" w:id="1"/>
      <w:r>
        <w:rPr>
          <w:rFonts w:eastAsia="等线" w:ascii="Arial" w:cs="Arial" w:hAnsi="Arial"/>
          <w:b w:val="true"/>
          <w:sz w:val="30"/>
        </w:rPr>
        <w:t xml:space="preserve">测试案例二：跨国企业员工数据跨境人力资源管理（标准合同路径，涉及豁免判断） </w:t>
      </w:r>
      <w:bookmarkEnd w:id="1"/>
    </w:p>
    <w:p>
      <w:pPr>
        <w:spacing w:before="120" w:after="120" w:line="288" w:lineRule="auto"/>
        <w:ind w:left="0"/>
        <w:jc w:val="left"/>
      </w:pPr>
      <w:r>
        <w:rPr>
          <w:rFonts w:eastAsia="等线" w:ascii="Arial" w:cs="Arial" w:hAnsi="Arial"/>
          <w:b w:val="true"/>
          <w:sz w:val="22"/>
        </w:rPr>
        <w:t>场景背景</w:t>
      </w:r>
      <w:r>
        <w:rPr>
          <w:rFonts w:eastAsia="等线" w:ascii="Arial" w:cs="Arial" w:hAnsi="Arial"/>
          <w:sz w:val="22"/>
        </w:rPr>
        <w:t>：“蔚蓝科技”（中国）公司，作为跨国集团“GlobalTech Inc.”的子公司，需要将约2000名中国员工的薪酬、绩效考核、岗位信息传输至位于美国的集团总部HR系统，用于全球统一的人力资源管理、薪酬福利规划和人才盘点。</w:t>
      </w:r>
    </w:p>
    <w:p>
      <w:pPr>
        <w:spacing w:before="120" w:after="120" w:line="288" w:lineRule="auto"/>
        <w:ind w:left="0"/>
        <w:jc w:val="left"/>
      </w:pPr>
      <w:r>
        <w:rPr>
          <w:rFonts w:eastAsia="等线" w:ascii="Arial" w:cs="Arial" w:hAnsi="Arial"/>
          <w:b w:val="true"/>
          <w:sz w:val="22"/>
        </w:rPr>
        <w:t>用户输入详情</w:t>
      </w:r>
      <w:r>
        <w:rPr>
          <w:rFonts w:eastAsia="等线" w:ascii="Arial" w:cs="Arial" w:hAnsi="Arial"/>
          <w:sz w:val="22"/>
        </w:rPr>
        <w:t>：</w:t>
      </w:r>
    </w:p>
    <w:p>
      <w:pPr>
        <w:numPr>
          <w:numId w:val="35"/>
        </w:numPr>
        <w:spacing w:before="120" w:after="120" w:line="288" w:lineRule="auto"/>
        <w:ind w:left="0"/>
        <w:jc w:val="left"/>
      </w:pPr>
      <w:r>
        <w:rPr>
          <w:rFonts w:eastAsia="等线" w:ascii="Arial" w:cs="Arial" w:hAnsi="Arial"/>
          <w:b w:val="true"/>
          <w:sz w:val="22"/>
        </w:rPr>
        <w:t>A. 处理者与出境活动基础信息</w:t>
      </w:r>
    </w:p>
    <w:p>
      <w:pPr>
        <w:numPr>
          <w:numId w:val="36"/>
        </w:numPr>
        <w:spacing w:before="120" w:after="120" w:line="288" w:lineRule="auto"/>
        <w:ind w:left="453"/>
        <w:jc w:val="left"/>
      </w:pPr>
      <w:r>
        <w:rPr>
          <w:rFonts w:eastAsia="等线" w:ascii="Arial" w:cs="Arial" w:hAnsi="Arial"/>
          <w:b w:val="true"/>
          <w:sz w:val="22"/>
        </w:rPr>
        <w:t>合法性基础</w:t>
      </w:r>
      <w:r>
        <w:rPr>
          <w:rFonts w:eastAsia="等线" w:ascii="Arial" w:cs="Arial" w:hAnsi="Arial"/>
          <w:sz w:val="22"/>
        </w:rPr>
        <w:t>：用户选择“实施跨境人力资源管理所必需”，并声称依据</w:t>
      </w:r>
      <w:r>
        <w:rPr>
          <w:rFonts w:eastAsia="等线" w:ascii="Arial" w:cs="Arial" w:hAnsi="Arial"/>
          <w:b w:val="true"/>
          <w:sz w:val="22"/>
        </w:rPr>
        <w:t>依法制定的《员工手册》</w:t>
      </w:r>
      <w:r>
        <w:rPr>
          <w:rFonts w:eastAsia="等线" w:ascii="Arial" w:cs="Arial" w:hAnsi="Arial"/>
          <w:sz w:val="22"/>
        </w:rPr>
        <w:t xml:space="preserve"> 和</w:t>
      </w:r>
      <w:r>
        <w:rPr>
          <w:rFonts w:eastAsia="等线" w:ascii="Arial" w:cs="Arial" w:hAnsi="Arial"/>
          <w:b w:val="true"/>
          <w:sz w:val="22"/>
        </w:rPr>
        <w:t>集体合同</w:t>
      </w:r>
      <w:r>
        <w:rPr>
          <w:rFonts w:eastAsia="等线" w:ascii="Arial" w:cs="Arial" w:hAnsi="Arial"/>
          <w:sz w:val="22"/>
        </w:rPr>
        <w:t>。但上传的《员工手册》中，关于数据跨境条款的描述较为简单，仅写明“您的个人信息可能会在集团内共享”。</w:t>
      </w:r>
    </w:p>
    <w:p>
      <w:pPr>
        <w:numPr>
          <w:numId w:val="37"/>
        </w:numPr>
        <w:spacing w:before="120" w:after="120" w:line="288" w:lineRule="auto"/>
        <w:ind w:left="453"/>
        <w:jc w:val="left"/>
      </w:pPr>
      <w:r>
        <w:rPr>
          <w:rFonts w:eastAsia="等线" w:ascii="Arial" w:cs="Arial" w:hAnsi="Arial"/>
          <w:b w:val="true"/>
          <w:sz w:val="22"/>
        </w:rPr>
        <w:t>风险点</w:t>
      </w:r>
      <w:r>
        <w:rPr>
          <w:rFonts w:eastAsia="等线" w:ascii="Arial" w:cs="Arial" w:hAnsi="Arial"/>
          <w:sz w:val="22"/>
        </w:rPr>
        <w:t>：集体合同为较早版本，</w:t>
      </w:r>
      <w:r>
        <w:rPr>
          <w:rFonts w:eastAsia="等线" w:ascii="Arial" w:cs="Arial" w:hAnsi="Arial"/>
          <w:b w:val="true"/>
          <w:sz w:val="22"/>
        </w:rPr>
        <w:t>未专门提及数据出境事项</w:t>
      </w:r>
      <w:r>
        <w:rPr>
          <w:rFonts w:eastAsia="等线" w:ascii="Arial" w:cs="Arial" w:hAnsi="Arial"/>
          <w:sz w:val="22"/>
        </w:rPr>
        <w:t>。</w:t>
      </w:r>
    </w:p>
    <w:p>
      <w:pPr>
        <w:numPr>
          <w:numId w:val="38"/>
        </w:numPr>
        <w:spacing w:before="120" w:after="120" w:line="288" w:lineRule="auto"/>
        <w:ind w:left="0"/>
        <w:jc w:val="left"/>
      </w:pPr>
      <w:r>
        <w:rPr>
          <w:rFonts w:eastAsia="等线" w:ascii="Arial" w:cs="Arial" w:hAnsi="Arial"/>
          <w:b w:val="true"/>
          <w:sz w:val="22"/>
        </w:rPr>
        <w:t>B. 出境个人信息清单</w:t>
      </w:r>
    </w:p>
    <w:p>
      <w:pPr>
        <w:numPr>
          <w:numId w:val="39"/>
        </w:numPr>
        <w:spacing w:before="120" w:after="120" w:line="288" w:lineRule="auto"/>
        <w:ind w:left="453"/>
        <w:jc w:val="left"/>
      </w:pPr>
      <w:r>
        <w:rPr>
          <w:rFonts w:eastAsia="等线" w:ascii="Arial" w:cs="Arial" w:hAnsi="Arial"/>
          <w:sz w:val="22"/>
        </w:rPr>
        <w:t>包含</w:t>
      </w:r>
      <w:r>
        <w:rPr>
          <w:rFonts w:eastAsia="Consolas" w:ascii="Consolas" w:cs="Consolas" w:hAnsi="Consolas"/>
          <w:sz w:val="22"/>
          <w:shd w:fill="EFF0F1"/>
        </w:rPr>
        <w:t>Employee_ID</w:t>
      </w:r>
      <w:r>
        <w:rPr>
          <w:rFonts w:eastAsia="等线" w:ascii="Arial" w:cs="Arial" w:hAnsi="Arial"/>
          <w:sz w:val="22"/>
        </w:rPr>
        <w:t xml:space="preserve">， </w:t>
      </w:r>
      <w:r>
        <w:rPr>
          <w:rFonts w:eastAsia="Consolas" w:ascii="Consolas" w:cs="Consolas" w:hAnsi="Consolas"/>
          <w:sz w:val="22"/>
          <w:shd w:fill="EFF0F1"/>
        </w:rPr>
        <w:t>Name</w:t>
      </w:r>
      <w:r>
        <w:rPr>
          <w:rFonts w:eastAsia="等线" w:ascii="Arial" w:cs="Arial" w:hAnsi="Arial"/>
          <w:sz w:val="22"/>
        </w:rPr>
        <w:t xml:space="preserve">， </w:t>
      </w:r>
      <w:r>
        <w:rPr>
          <w:rFonts w:eastAsia="Consolas" w:ascii="Consolas" w:cs="Consolas" w:hAnsi="Consolas"/>
          <w:sz w:val="22"/>
          <w:shd w:fill="EFF0F1"/>
        </w:rPr>
        <w:t>Position</w:t>
      </w:r>
      <w:r>
        <w:rPr>
          <w:rFonts w:eastAsia="等线" w:ascii="Arial" w:cs="Arial" w:hAnsi="Arial"/>
          <w:sz w:val="22"/>
        </w:rPr>
        <w:t xml:space="preserve">， </w:t>
      </w:r>
      <w:r>
        <w:rPr>
          <w:rFonts w:eastAsia="Consolas" w:ascii="Consolas" w:cs="Consolas" w:hAnsi="Consolas"/>
          <w:sz w:val="22"/>
          <w:shd w:fill="EFF0F1"/>
        </w:rPr>
        <w:t>Base_Salary</w:t>
      </w:r>
      <w:r>
        <w:rPr>
          <w:rFonts w:eastAsia="等线" w:ascii="Arial" w:cs="Arial" w:hAnsi="Arial"/>
          <w:sz w:val="22"/>
        </w:rPr>
        <w:t xml:space="preserve">， </w:t>
      </w:r>
      <w:r>
        <w:rPr>
          <w:rFonts w:eastAsia="Consolas" w:ascii="Consolas" w:cs="Consolas" w:hAnsi="Consolas"/>
          <w:sz w:val="22"/>
          <w:shd w:fill="EFF0F1"/>
        </w:rPr>
        <w:t>Bonus</w:t>
      </w:r>
      <w:r>
        <w:rPr>
          <w:rFonts w:eastAsia="等线" w:ascii="Arial" w:cs="Arial" w:hAnsi="Arial"/>
          <w:sz w:val="22"/>
        </w:rPr>
        <w:t xml:space="preserve">， </w:t>
      </w:r>
      <w:r>
        <w:rPr>
          <w:rFonts w:eastAsia="Consolas" w:ascii="Consolas" w:cs="Consolas" w:hAnsi="Consolas"/>
          <w:sz w:val="22"/>
          <w:shd w:fill="EFF0F1"/>
        </w:rPr>
        <w:t>Performance_Rating</w:t>
      </w:r>
      <w:r>
        <w:rPr>
          <w:rFonts w:eastAsia="等线" w:ascii="Arial" w:cs="Arial" w:hAnsi="Arial"/>
          <w:sz w:val="22"/>
        </w:rPr>
        <w:t xml:space="preserve">， </w:t>
      </w:r>
      <w:r>
        <w:rPr>
          <w:rFonts w:eastAsia="Consolas" w:ascii="Consolas" w:cs="Consolas" w:hAnsi="Consolas"/>
          <w:sz w:val="22"/>
          <w:shd w:fill="EFF0F1"/>
        </w:rPr>
        <w:t>Work_Email</w:t>
      </w:r>
      <w:r>
        <w:rPr>
          <w:rFonts w:eastAsia="等线" w:ascii="Arial" w:cs="Arial" w:hAnsi="Arial"/>
          <w:sz w:val="22"/>
        </w:rPr>
        <w:t>。</w:t>
      </w:r>
    </w:p>
    <w:p>
      <w:pPr>
        <w:numPr>
          <w:numId w:val="40"/>
        </w:numPr>
        <w:spacing w:before="120" w:after="120" w:line="288" w:lineRule="auto"/>
        <w:ind w:left="453"/>
        <w:jc w:val="left"/>
      </w:pPr>
      <w:r>
        <w:rPr>
          <w:rFonts w:eastAsia="等线" w:ascii="Arial" w:cs="Arial" w:hAnsi="Arial"/>
          <w:b w:val="true"/>
          <w:sz w:val="22"/>
        </w:rPr>
        <w:t>风险点</w:t>
      </w:r>
      <w:r>
        <w:rPr>
          <w:rFonts w:eastAsia="等线" w:ascii="Arial" w:cs="Arial" w:hAnsi="Arial"/>
          <w:sz w:val="22"/>
        </w:rPr>
        <w:t>：</w:t>
      </w:r>
      <w:r>
        <w:rPr>
          <w:rFonts w:eastAsia="Consolas" w:ascii="Consolas" w:cs="Consolas" w:hAnsi="Consolas"/>
          <w:sz w:val="22"/>
          <w:shd w:fill="EFF0F1"/>
        </w:rPr>
        <w:t>Base_Salary</w:t>
      </w:r>
      <w:r>
        <w:rPr>
          <w:rFonts w:eastAsia="等线" w:ascii="Arial" w:cs="Arial" w:hAnsi="Arial"/>
          <w:sz w:val="22"/>
        </w:rPr>
        <w:t>和</w:t>
      </w:r>
      <w:r>
        <w:rPr>
          <w:rFonts w:eastAsia="Consolas" w:ascii="Consolas" w:cs="Consolas" w:hAnsi="Consolas"/>
          <w:sz w:val="22"/>
          <w:shd w:fill="EFF0F1"/>
        </w:rPr>
        <w:t>Bonus</w:t>
      </w:r>
      <w:r>
        <w:rPr>
          <w:rFonts w:eastAsia="等线" w:ascii="Arial" w:cs="Arial" w:hAnsi="Arial"/>
          <w:sz w:val="22"/>
        </w:rPr>
        <w:t>属于敏感的财产信息，但用户准确勾选了“敏感个人信息”。</w:t>
      </w:r>
    </w:p>
    <w:p>
      <w:pPr>
        <w:numPr>
          <w:numId w:val="41"/>
        </w:numPr>
        <w:spacing w:before="120" w:after="120" w:line="288" w:lineRule="auto"/>
        <w:ind w:left="0"/>
        <w:jc w:val="left"/>
      </w:pPr>
      <w:r>
        <w:rPr>
          <w:rFonts w:eastAsia="等线" w:ascii="Arial" w:cs="Arial" w:hAnsi="Arial"/>
          <w:b w:val="true"/>
          <w:sz w:val="22"/>
        </w:rPr>
        <w:t>D. 境外接收方信息</w:t>
      </w:r>
    </w:p>
    <w:p>
      <w:pPr>
        <w:numPr>
          <w:numId w:val="42"/>
        </w:numPr>
        <w:spacing w:before="120" w:after="120" w:line="288" w:lineRule="auto"/>
        <w:ind w:left="453"/>
        <w:jc w:val="left"/>
      </w:pPr>
      <w:r>
        <w:rPr>
          <w:rFonts w:eastAsia="等线" w:ascii="Arial" w:cs="Arial" w:hAnsi="Arial"/>
          <w:sz w:val="22"/>
        </w:rPr>
        <w:t>接收方为美国母公司，用户描述其“符合公司内部全球隐私政策”。</w:t>
      </w:r>
    </w:p>
    <w:p>
      <w:pPr>
        <w:numPr>
          <w:numId w:val="43"/>
        </w:numPr>
        <w:spacing w:before="120" w:after="120" w:line="288" w:lineRule="auto"/>
        <w:ind w:left="453"/>
        <w:jc w:val="left"/>
      </w:pPr>
      <w:r>
        <w:rPr>
          <w:rFonts w:eastAsia="等线" w:ascii="Arial" w:cs="Arial" w:hAnsi="Arial"/>
          <w:b w:val="true"/>
          <w:sz w:val="22"/>
        </w:rPr>
        <w:t>风险点</w:t>
      </w:r>
      <w:r>
        <w:rPr>
          <w:rFonts w:eastAsia="等线" w:ascii="Arial" w:cs="Arial" w:hAnsi="Arial"/>
          <w:sz w:val="22"/>
        </w:rPr>
        <w:t>：</w:t>
      </w:r>
      <w:r>
        <w:rPr>
          <w:rFonts w:eastAsia="等线" w:ascii="Arial" w:cs="Arial" w:hAnsi="Arial"/>
          <w:b w:val="true"/>
          <w:sz w:val="22"/>
        </w:rPr>
        <w:t>未提供该全球隐私政策的文本，也未说明其如何满足GDPR或中国法律的要求</w:t>
      </w:r>
      <w:r>
        <w:rPr>
          <w:rFonts w:eastAsia="等线" w:ascii="Arial" w:cs="Arial" w:hAnsi="Arial"/>
          <w:sz w:val="22"/>
        </w:rPr>
        <w:t>。</w:t>
      </w:r>
    </w:p>
    <w:p>
      <w:pPr>
        <w:numPr>
          <w:numId w:val="44"/>
        </w:numPr>
        <w:spacing w:before="120" w:after="120" w:line="288" w:lineRule="auto"/>
        <w:ind w:left="0"/>
        <w:jc w:val="left"/>
      </w:pPr>
      <w:r>
        <w:rPr>
          <w:rFonts w:eastAsia="等线" w:ascii="Arial" w:cs="Arial" w:hAnsi="Arial"/>
          <w:b w:val="true"/>
          <w:sz w:val="22"/>
        </w:rPr>
        <w:t>E. 法律文件</w:t>
      </w:r>
    </w:p>
    <w:p>
      <w:pPr>
        <w:numPr>
          <w:numId w:val="45"/>
        </w:numPr>
        <w:spacing w:before="120" w:after="120" w:line="288" w:lineRule="auto"/>
        <w:ind w:left="453"/>
        <w:jc w:val="left"/>
      </w:pPr>
      <w:r>
        <w:rPr>
          <w:rFonts w:eastAsia="等线" w:ascii="Arial" w:cs="Arial" w:hAnsi="Arial"/>
          <w:sz w:val="22"/>
        </w:rPr>
        <w:t>上传了集团内部的《全球数据处理协议》（Intra-Group DPA），内容较为详尽。</w:t>
      </w:r>
    </w:p>
    <w:p>
      <w:pPr>
        <w:numPr>
          <w:numId w:val="46"/>
        </w:numPr>
        <w:spacing w:before="120" w:after="120" w:line="288" w:lineRule="auto"/>
        <w:ind w:left="453"/>
        <w:jc w:val="left"/>
      </w:pPr>
      <w:r>
        <w:rPr>
          <w:rFonts w:eastAsia="等线" w:ascii="Arial" w:cs="Arial" w:hAnsi="Arial"/>
          <w:b w:val="true"/>
          <w:sz w:val="22"/>
        </w:rPr>
        <w:t>风险点</w:t>
      </w:r>
      <w:r>
        <w:rPr>
          <w:rFonts w:eastAsia="等线" w:ascii="Arial" w:cs="Arial" w:hAnsi="Arial"/>
          <w:sz w:val="22"/>
        </w:rPr>
        <w:t>：该协议为英文版本，</w:t>
      </w:r>
      <w:r>
        <w:rPr>
          <w:rFonts w:eastAsia="等线" w:ascii="Arial" w:cs="Arial" w:hAnsi="Arial"/>
          <w:b w:val="true"/>
          <w:sz w:val="22"/>
        </w:rPr>
        <w:t>未提供经认证的中文译本</w:t>
      </w:r>
      <w:r>
        <w:rPr>
          <w:rFonts w:eastAsia="等线" w:ascii="Arial" w:cs="Arial" w:hAnsi="Arial"/>
          <w:sz w:val="22"/>
        </w:rPr>
        <w:t>。</w:t>
      </w:r>
    </w:p>
    <w:p>
      <w:pPr>
        <w:numPr>
          <w:numId w:val="47"/>
        </w:numPr>
        <w:spacing w:before="120" w:after="120" w:line="288" w:lineRule="auto"/>
        <w:ind w:left="0"/>
        <w:jc w:val="left"/>
      </w:pPr>
      <w:r>
        <w:rPr>
          <w:rFonts w:eastAsia="等线" w:ascii="Arial" w:cs="Arial" w:hAnsi="Arial"/>
          <w:b w:val="true"/>
          <w:sz w:val="22"/>
        </w:rPr>
        <w:t>G. 自我评估与整改情况</w:t>
      </w:r>
    </w:p>
    <w:p>
      <w:pPr>
        <w:numPr>
          <w:numId w:val="48"/>
        </w:numPr>
        <w:spacing w:before="120" w:after="120" w:line="288" w:lineRule="auto"/>
        <w:ind w:left="453"/>
        <w:jc w:val="left"/>
      </w:pPr>
      <w:r>
        <w:rPr>
          <w:rFonts w:eastAsia="等线" w:ascii="Arial" w:cs="Arial" w:hAnsi="Arial"/>
          <w:sz w:val="22"/>
        </w:rPr>
        <w:t>用户对“合法性、正当性、必要性”评估全部勾选“符合”，但</w:t>
      </w:r>
      <w:r>
        <w:rPr>
          <w:rFonts w:eastAsia="等线" w:ascii="Arial" w:cs="Arial" w:hAnsi="Arial"/>
          <w:b w:val="true"/>
          <w:sz w:val="22"/>
        </w:rPr>
        <w:t>未就《员工手册》和集体合同条款的充分性进行任何说明</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预期输出</w:t>
      </w:r>
      <w:r>
        <w:rPr>
          <w:rFonts w:eastAsia="等线" w:ascii="Arial" w:cs="Arial" w:hAnsi="Arial"/>
          <w:sz w:val="22"/>
        </w:rPr>
        <w:t>：</w:t>
      </w:r>
    </w:p>
    <w:p>
      <w:pPr>
        <w:numPr>
          <w:numId w:val="49"/>
        </w:numPr>
        <w:spacing w:before="120" w:after="120" w:line="288" w:lineRule="auto"/>
        <w:ind w:left="0"/>
        <w:jc w:val="left"/>
      </w:pPr>
      <w:r>
        <w:rPr>
          <w:rFonts w:eastAsia="等线" w:ascii="Arial" w:cs="Arial" w:hAnsi="Arial"/>
          <w:b w:val="true"/>
          <w:sz w:val="22"/>
        </w:rPr>
        <w:t>核心结论</w:t>
      </w:r>
      <w:r>
        <w:rPr>
          <w:rFonts w:eastAsia="等线" w:ascii="Arial" w:cs="Arial" w:hAnsi="Arial"/>
          <w:sz w:val="22"/>
        </w:rPr>
        <w:t>：该场景</w:t>
      </w:r>
      <w:r>
        <w:rPr>
          <w:rFonts w:eastAsia="等线" w:ascii="Arial" w:cs="Arial" w:hAnsi="Arial"/>
          <w:b w:val="true"/>
          <w:sz w:val="22"/>
        </w:rPr>
        <w:t>可能符合</w:t>
      </w:r>
      <w:r>
        <w:rPr>
          <w:rFonts w:eastAsia="等线" w:ascii="Arial" w:cs="Arial" w:hAnsi="Arial"/>
          <w:sz w:val="22"/>
        </w:rPr>
        <w:t>《促进和规范数据跨境流动规定》第六条的豁免情形（跨境人力资源管理）。但</w:t>
      </w:r>
      <w:r>
        <w:rPr>
          <w:rFonts w:eastAsia="等线" w:ascii="Arial" w:cs="Arial" w:hAnsi="Arial"/>
          <w:b w:val="true"/>
          <w:sz w:val="22"/>
        </w:rPr>
        <w:t>必须严格满足“依法制定的劳动规章制度和依法签订的集体合同”且“确需”的条件</w:t>
      </w:r>
      <w:r>
        <w:rPr>
          <w:rFonts w:eastAsia="等线" w:ascii="Arial" w:cs="Arial" w:hAnsi="Arial"/>
          <w:sz w:val="22"/>
        </w:rPr>
        <w:t>。鉴于当前证据（集体合同缺失条款、员工手册描述模糊），系统建议按审慎原则，继续完成PIPIA，并可选择通过标准合同路径以增强合规确定性。</w:t>
      </w:r>
    </w:p>
    <w:p>
      <w:pPr>
        <w:numPr>
          <w:numId w:val="50"/>
        </w:numPr>
        <w:spacing w:before="120" w:after="120" w:line="288" w:lineRule="auto"/>
        <w:ind w:left="0"/>
        <w:jc w:val="left"/>
      </w:pPr>
      <w:r>
        <w:rPr>
          <w:rFonts w:eastAsia="等线" w:ascii="Arial" w:cs="Arial" w:hAnsi="Arial"/>
          <w:b w:val="true"/>
          <w:sz w:val="22"/>
        </w:rPr>
        <w:t>生成的PIPIA报告（草案）关键内容</w:t>
      </w:r>
      <w:r>
        <w:rPr>
          <w:rFonts w:eastAsia="等线" w:ascii="Arial" w:cs="Arial" w:hAnsi="Arial"/>
          <w:sz w:val="22"/>
        </w:rPr>
        <w:t>：</w:t>
      </w:r>
    </w:p>
    <w:p>
      <w:pPr>
        <w:numPr>
          <w:numId w:val="51"/>
        </w:numPr>
        <w:spacing w:before="120" w:after="120" w:line="288" w:lineRule="auto"/>
        <w:ind w:left="453"/>
        <w:jc w:val="left"/>
      </w:pPr>
      <w:r>
        <w:rPr>
          <w:rFonts w:eastAsia="等线" w:ascii="Arial" w:cs="Arial" w:hAnsi="Arial"/>
          <w:sz w:val="22"/>
        </w:rPr>
        <w:t>重点评估“人力资源管理”豁免条件的满足情况，指出集体合同和《员工手册》条款的不足之处。</w:t>
      </w:r>
    </w:p>
    <w:p>
      <w:pPr>
        <w:numPr>
          <w:numId w:val="52"/>
        </w:numPr>
        <w:spacing w:before="120" w:after="120" w:line="288" w:lineRule="auto"/>
        <w:ind w:left="453"/>
        <w:jc w:val="left"/>
      </w:pPr>
      <w:r>
        <w:rPr>
          <w:rFonts w:eastAsia="等线" w:ascii="Arial" w:cs="Arial" w:hAnsi="Arial"/>
          <w:sz w:val="22"/>
        </w:rPr>
        <w:t>强调传输薪酬等敏感个人信息的特殊保护要求。</w:t>
      </w:r>
    </w:p>
    <w:p>
      <w:pPr>
        <w:numPr>
          <w:numId w:val="53"/>
        </w:numPr>
        <w:spacing w:before="120" w:after="120" w:line="288" w:lineRule="auto"/>
        <w:ind w:left="453"/>
        <w:jc w:val="left"/>
      </w:pPr>
      <w:r>
        <w:rPr>
          <w:rFonts w:eastAsia="等线" w:ascii="Arial" w:cs="Arial" w:hAnsi="Arial"/>
          <w:sz w:val="22"/>
        </w:rPr>
        <w:t>指出境外接收方政策不透明、法律文件无中文译本的风险。</w:t>
      </w:r>
    </w:p>
    <w:p>
      <w:pPr>
        <w:numPr>
          <w:numId w:val="54"/>
        </w:numPr>
        <w:spacing w:before="120" w:after="120" w:line="288" w:lineRule="auto"/>
        <w:ind w:left="453"/>
        <w:jc w:val="left"/>
      </w:pPr>
      <w:r>
        <w:rPr>
          <w:rFonts w:eastAsia="等线" w:ascii="Arial" w:cs="Arial" w:hAnsi="Arial"/>
          <w:sz w:val="22"/>
        </w:rPr>
        <w:t>结论：若能完善内部制度（明确列出出境条款），则可适用豁免；否则，建议签订标准合同，并需解决上述风险点。</w:t>
      </w:r>
    </w:p>
    <w:p>
      <w:pPr>
        <w:numPr>
          <w:numId w:val="55"/>
        </w:numPr>
        <w:spacing w:before="120" w:after="120" w:line="288" w:lineRule="auto"/>
        <w:ind w:left="0"/>
        <w:jc w:val="left"/>
      </w:pPr>
      <w:r>
        <w:rPr>
          <w:rFonts w:eastAsia="等线" w:ascii="Arial" w:cs="Arial" w:hAnsi="Arial"/>
          <w:b w:val="true"/>
          <w:sz w:val="22"/>
        </w:rPr>
        <w:t>《生成逻辑说明》中的重点提示</w:t>
      </w:r>
      <w:r>
        <w:rPr>
          <w:rFonts w:eastAsia="等线" w:ascii="Arial" w:cs="Arial" w:hAnsi="Arial"/>
          <w:sz w:val="22"/>
        </w:rPr>
        <w:t>：</w:t>
      </w:r>
    </w:p>
    <w:p>
      <w:pPr>
        <w:numPr>
          <w:numId w:val="56"/>
        </w:numPr>
        <w:spacing w:before="120" w:after="120" w:line="288" w:lineRule="auto"/>
        <w:ind w:left="453"/>
        <w:jc w:val="left"/>
      </w:pPr>
      <w:r>
        <w:rPr>
          <w:rFonts w:eastAsia="等线" w:ascii="Arial" w:cs="Arial" w:hAnsi="Arial"/>
          <w:b w:val="true"/>
          <w:sz w:val="22"/>
        </w:rPr>
        <w:t>核心决策点</w:t>
      </w:r>
      <w:r>
        <w:rPr>
          <w:rFonts w:eastAsia="等线" w:ascii="Arial" w:cs="Arial" w:hAnsi="Arial"/>
          <w:sz w:val="22"/>
        </w:rPr>
        <w:t>：引导用户确认是否希望争取“豁免”。若是，则必须补充经民主程序修订的、包含明确数据出境条款的集体合同或《员工手册》。</w:t>
      </w:r>
    </w:p>
    <w:p>
      <w:pPr>
        <w:numPr>
          <w:numId w:val="57"/>
        </w:numPr>
        <w:spacing w:before="120" w:after="120" w:line="288" w:lineRule="auto"/>
        <w:ind w:left="453"/>
        <w:jc w:val="left"/>
      </w:pPr>
      <w:r>
        <w:rPr>
          <w:rFonts w:eastAsia="等线" w:ascii="Arial" w:cs="Arial" w:hAnsi="Arial"/>
          <w:b w:val="true"/>
          <w:sz w:val="22"/>
        </w:rPr>
        <w:t>风险提示</w:t>
      </w:r>
      <w:r>
        <w:rPr>
          <w:rFonts w:eastAsia="等线" w:ascii="Arial" w:cs="Arial" w:hAnsi="Arial"/>
          <w:sz w:val="22"/>
        </w:rPr>
        <w:t>：即使豁免，对敏感个人信息的保护标准不能降低。境外母公司政策必须可查、可验证。法律文件必须有中文版本。</w:t>
      </w:r>
    </w:p>
    <w:p>
      <w:pPr>
        <w:pStyle w:val="3"/>
        <w:spacing w:before="300" w:after="120" w:line="288" w:lineRule="auto"/>
        <w:ind w:left="0"/>
        <w:jc w:val="left"/>
        <w:outlineLvl w:val="2"/>
      </w:pPr>
      <w:bookmarkStart w:name="heading_2" w:id="2"/>
      <w:r>
        <w:rPr>
          <w:rFonts w:eastAsia="等线" w:ascii="Arial" w:cs="Arial" w:hAnsi="Arial"/>
          <w:b w:val="true"/>
          <w:sz w:val="30"/>
        </w:rPr>
        <w:t xml:space="preserve">测试案例三：金融科技公司向境外认证机构传输数据（认证路径） </w:t>
      </w:r>
      <w:bookmarkEnd w:id="2"/>
    </w:p>
    <w:p>
      <w:pPr>
        <w:spacing w:before="120" w:after="120" w:line="288" w:lineRule="auto"/>
        <w:ind w:left="0"/>
        <w:jc w:val="left"/>
      </w:pPr>
      <w:r>
        <w:rPr>
          <w:rFonts w:eastAsia="等线" w:ascii="Arial" w:cs="Arial" w:hAnsi="Arial"/>
          <w:b w:val="true"/>
          <w:sz w:val="22"/>
        </w:rPr>
        <w:t>场景背景</w:t>
      </w:r>
      <w:r>
        <w:rPr>
          <w:rFonts w:eastAsia="等线" w:ascii="Arial" w:cs="Arial" w:hAnsi="Arial"/>
          <w:sz w:val="22"/>
        </w:rPr>
        <w:t>：“智付通”（非CIIO）是一家提供跨境支付技术的金融科技公司，为拓展欧盟业务，需要将其中国境内约5万名商户（企业）的基本信息（企业名称、注册号、联系人商务邮箱）和交易概况（月交易笔数、金额区间）提供给欧盟的认证机构“EuroCert”，以申请获得一项欧盟支付服务认证。</w:t>
      </w:r>
    </w:p>
    <w:p>
      <w:pPr>
        <w:spacing w:before="120" w:after="120" w:line="288" w:lineRule="auto"/>
        <w:ind w:left="0"/>
        <w:jc w:val="left"/>
      </w:pPr>
      <w:r>
        <w:rPr>
          <w:rFonts w:eastAsia="等线" w:ascii="Arial" w:cs="Arial" w:hAnsi="Arial"/>
          <w:b w:val="true"/>
          <w:sz w:val="22"/>
        </w:rPr>
        <w:t>用户输入详情</w:t>
      </w:r>
      <w:r>
        <w:rPr>
          <w:rFonts w:eastAsia="等线" w:ascii="Arial" w:cs="Arial" w:hAnsi="Arial"/>
          <w:sz w:val="22"/>
        </w:rPr>
        <w:t>：</w:t>
      </w:r>
    </w:p>
    <w:p>
      <w:pPr>
        <w:numPr>
          <w:numId w:val="58"/>
        </w:numPr>
        <w:spacing w:before="120" w:after="120" w:line="288" w:lineRule="auto"/>
        <w:ind w:left="0"/>
        <w:jc w:val="left"/>
      </w:pPr>
      <w:r>
        <w:rPr>
          <w:rFonts w:eastAsia="等线" w:ascii="Arial" w:cs="Arial" w:hAnsi="Arial"/>
          <w:b w:val="true"/>
          <w:sz w:val="22"/>
        </w:rPr>
        <w:t>A. 处理者与出境活动基础信息</w:t>
      </w:r>
    </w:p>
    <w:p>
      <w:pPr>
        <w:numPr>
          <w:numId w:val="59"/>
        </w:numPr>
        <w:spacing w:before="120" w:after="120" w:line="288" w:lineRule="auto"/>
        <w:ind w:left="453"/>
        <w:jc w:val="left"/>
      </w:pPr>
      <w:r>
        <w:rPr>
          <w:rFonts w:eastAsia="等线" w:ascii="Arial" w:cs="Arial" w:hAnsi="Arial"/>
          <w:b w:val="true"/>
          <w:sz w:val="22"/>
        </w:rPr>
        <w:t>出境目的</w:t>
      </w:r>
      <w:r>
        <w:rPr>
          <w:rFonts w:eastAsia="等线" w:ascii="Arial" w:cs="Arial" w:hAnsi="Arial"/>
          <w:sz w:val="22"/>
        </w:rPr>
        <w:t>：满足欧盟监管机构对支付服务商的“尽职调查”和“合规认证”要求。</w:t>
      </w:r>
    </w:p>
    <w:p>
      <w:pPr>
        <w:numPr>
          <w:numId w:val="60"/>
        </w:numPr>
        <w:spacing w:before="120" w:after="120" w:line="288" w:lineRule="auto"/>
        <w:ind w:left="453"/>
        <w:jc w:val="left"/>
      </w:pPr>
      <w:r>
        <w:rPr>
          <w:rFonts w:eastAsia="等线" w:ascii="Arial" w:cs="Arial" w:hAnsi="Arial"/>
          <w:b w:val="true"/>
          <w:sz w:val="22"/>
        </w:rPr>
        <w:t>合法性基础</w:t>
      </w:r>
      <w:r>
        <w:rPr>
          <w:rFonts w:eastAsia="等线" w:ascii="Arial" w:cs="Arial" w:hAnsi="Arial"/>
          <w:sz w:val="22"/>
        </w:rPr>
        <w:t>：用户声称基于“履行法定义务”（指欧盟的认证要求），但</w:t>
      </w:r>
      <w:r>
        <w:rPr>
          <w:rFonts w:eastAsia="等线" w:ascii="Arial" w:cs="Arial" w:hAnsi="Arial"/>
          <w:b w:val="true"/>
          <w:sz w:val="22"/>
        </w:rPr>
        <w:t>未提供该欧盟法定义务的具体条款</w:t>
      </w:r>
      <w:r>
        <w:rPr>
          <w:rFonts w:eastAsia="等线" w:ascii="Arial" w:cs="Arial" w:hAnsi="Arial"/>
          <w:sz w:val="22"/>
        </w:rPr>
        <w:t>。同时，声称已获得商户合同中的授权。</w:t>
      </w:r>
    </w:p>
    <w:p>
      <w:pPr>
        <w:numPr>
          <w:numId w:val="61"/>
        </w:numPr>
        <w:spacing w:before="120" w:after="120" w:line="288" w:lineRule="auto"/>
        <w:ind w:left="453"/>
        <w:jc w:val="left"/>
      </w:pPr>
      <w:r>
        <w:rPr>
          <w:rFonts w:eastAsia="等线" w:ascii="Arial" w:cs="Arial" w:hAnsi="Arial"/>
          <w:b w:val="true"/>
          <w:sz w:val="22"/>
        </w:rPr>
        <w:t>风险点</w:t>
      </w:r>
      <w:r>
        <w:rPr>
          <w:rFonts w:eastAsia="等线" w:ascii="Arial" w:cs="Arial" w:hAnsi="Arial"/>
          <w:sz w:val="22"/>
        </w:rPr>
        <w:t>：将“欧盟认证要求”等同于“法定义务”的论证存在法律适用性争议。</w:t>
      </w:r>
    </w:p>
    <w:p>
      <w:pPr>
        <w:numPr>
          <w:numId w:val="62"/>
        </w:numPr>
        <w:spacing w:before="120" w:after="120" w:line="288" w:lineRule="auto"/>
        <w:ind w:left="0"/>
        <w:jc w:val="left"/>
      </w:pPr>
      <w:r>
        <w:rPr>
          <w:rFonts w:eastAsia="等线" w:ascii="Arial" w:cs="Arial" w:hAnsi="Arial"/>
          <w:b w:val="true"/>
          <w:sz w:val="22"/>
        </w:rPr>
        <w:t>B. 出境个人信息清单</w:t>
      </w:r>
    </w:p>
    <w:p>
      <w:pPr>
        <w:numPr>
          <w:numId w:val="63"/>
        </w:numPr>
        <w:spacing w:before="120" w:after="120" w:line="288" w:lineRule="auto"/>
        <w:ind w:left="453"/>
        <w:jc w:val="left"/>
      </w:pPr>
      <w:r>
        <w:rPr>
          <w:rFonts w:eastAsia="等线" w:ascii="Arial" w:cs="Arial" w:hAnsi="Arial"/>
          <w:sz w:val="22"/>
        </w:rPr>
        <w:t>包含</w:t>
      </w:r>
      <w:r>
        <w:rPr>
          <w:rFonts w:eastAsia="Consolas" w:ascii="Consolas" w:cs="Consolas" w:hAnsi="Consolas"/>
          <w:sz w:val="22"/>
          <w:shd w:fill="EFF0F1"/>
        </w:rPr>
        <w:t>Merchant_Name</w:t>
      </w:r>
      <w:r>
        <w:rPr>
          <w:rFonts w:eastAsia="等线" w:ascii="Arial" w:cs="Arial" w:hAnsi="Arial"/>
          <w:sz w:val="22"/>
        </w:rPr>
        <w:t xml:space="preserve">， </w:t>
      </w:r>
      <w:r>
        <w:rPr>
          <w:rFonts w:eastAsia="Consolas" w:ascii="Consolas" w:cs="Consolas" w:hAnsi="Consolas"/>
          <w:sz w:val="22"/>
          <w:shd w:fill="EFF0F1"/>
        </w:rPr>
        <w:t>Business_Registration_Number</w:t>
      </w:r>
      <w:r>
        <w:rPr>
          <w:rFonts w:eastAsia="等线" w:ascii="Arial" w:cs="Arial" w:hAnsi="Arial"/>
          <w:sz w:val="22"/>
        </w:rPr>
        <w:t xml:space="preserve">， </w:t>
      </w:r>
      <w:r>
        <w:rPr>
          <w:rFonts w:eastAsia="Consolas" w:ascii="Consolas" w:cs="Consolas" w:hAnsi="Consolas"/>
          <w:sz w:val="22"/>
          <w:shd w:fill="EFF0F1"/>
        </w:rPr>
        <w:t>Contact_Email</w:t>
      </w:r>
      <w:r>
        <w:rPr>
          <w:rFonts w:eastAsia="等线" w:ascii="Arial" w:cs="Arial" w:hAnsi="Arial"/>
          <w:sz w:val="22"/>
        </w:rPr>
        <w:t xml:space="preserve">， </w:t>
      </w:r>
      <w:r>
        <w:rPr>
          <w:rFonts w:eastAsia="Consolas" w:ascii="Consolas" w:cs="Consolas" w:hAnsi="Consolas"/>
          <w:sz w:val="22"/>
          <w:shd w:fill="EFF0F1"/>
        </w:rPr>
        <w:t>Contact_Name</w:t>
      </w:r>
      <w:r>
        <w:rPr>
          <w:rFonts w:eastAsia="等线" w:ascii="Arial" w:cs="Arial" w:hAnsi="Arial"/>
          <w:sz w:val="22"/>
        </w:rPr>
        <w:t xml:space="preserve">， </w:t>
      </w:r>
      <w:r>
        <w:rPr>
          <w:rFonts w:eastAsia="Consolas" w:ascii="Consolas" w:cs="Consolas" w:hAnsi="Consolas"/>
          <w:sz w:val="22"/>
          <w:shd w:fill="EFF0F1"/>
        </w:rPr>
        <w:t>Monthly_Txn_Volume_Band</w:t>
      </w:r>
      <w:r>
        <w:rPr>
          <w:rFonts w:eastAsia="等线" w:ascii="Arial" w:cs="Arial" w:hAnsi="Arial"/>
          <w:sz w:val="22"/>
        </w:rPr>
        <w:t>。</w:t>
      </w:r>
    </w:p>
    <w:p>
      <w:pPr>
        <w:numPr>
          <w:numId w:val="64"/>
        </w:numPr>
        <w:spacing w:before="120" w:after="120" w:line="288" w:lineRule="auto"/>
        <w:ind w:left="453"/>
        <w:jc w:val="left"/>
      </w:pPr>
      <w:r>
        <w:rPr>
          <w:rFonts w:eastAsia="等线" w:ascii="Arial" w:cs="Arial" w:hAnsi="Arial"/>
          <w:sz w:val="22"/>
        </w:rPr>
        <w:t>用户将</w:t>
      </w:r>
      <w:r>
        <w:rPr>
          <w:rFonts w:eastAsia="Consolas" w:ascii="Consolas" w:cs="Consolas" w:hAnsi="Consolas"/>
          <w:sz w:val="22"/>
          <w:shd w:fill="EFF0F1"/>
        </w:rPr>
        <w:t>Contact_Name</w:t>
      </w:r>
      <w:r>
        <w:rPr>
          <w:rFonts w:eastAsia="等线" w:ascii="Arial" w:cs="Arial" w:hAnsi="Arial"/>
          <w:sz w:val="22"/>
        </w:rPr>
        <w:t>和</w:t>
      </w:r>
      <w:r>
        <w:rPr>
          <w:rFonts w:eastAsia="Consolas" w:ascii="Consolas" w:cs="Consolas" w:hAnsi="Consolas"/>
          <w:sz w:val="22"/>
          <w:shd w:fill="EFF0F1"/>
        </w:rPr>
        <w:t>Contact_Email</w:t>
      </w:r>
      <w:r>
        <w:rPr>
          <w:rFonts w:eastAsia="等线" w:ascii="Arial" w:cs="Arial" w:hAnsi="Arial"/>
          <w:sz w:val="22"/>
        </w:rPr>
        <w:t>识别为个人信息，但将</w:t>
      </w:r>
      <w:r>
        <w:rPr>
          <w:rFonts w:eastAsia="Consolas" w:ascii="Consolas" w:cs="Consolas" w:hAnsi="Consolas"/>
          <w:sz w:val="22"/>
          <w:shd w:fill="EFF0F1"/>
        </w:rPr>
        <w:t>Business_Registration_Number</w:t>
      </w:r>
      <w:r>
        <w:rPr>
          <w:rFonts w:eastAsia="等线" w:ascii="Arial" w:cs="Arial" w:hAnsi="Arial"/>
          <w:sz w:val="22"/>
        </w:rPr>
        <w:t>视为企业信息。</w:t>
      </w:r>
    </w:p>
    <w:p>
      <w:pPr>
        <w:numPr>
          <w:numId w:val="65"/>
        </w:numPr>
        <w:spacing w:before="120" w:after="120" w:line="288" w:lineRule="auto"/>
        <w:ind w:left="0"/>
        <w:jc w:val="left"/>
      </w:pPr>
      <w:r>
        <w:rPr>
          <w:rFonts w:eastAsia="等线" w:ascii="Arial" w:cs="Arial" w:hAnsi="Arial"/>
          <w:b w:val="true"/>
          <w:sz w:val="22"/>
        </w:rPr>
        <w:t>C. 系统与存储信息</w:t>
      </w:r>
    </w:p>
    <w:p>
      <w:pPr>
        <w:numPr>
          <w:numId w:val="66"/>
        </w:numPr>
        <w:spacing w:before="120" w:after="120" w:line="288" w:lineRule="auto"/>
        <w:ind w:left="453"/>
        <w:jc w:val="left"/>
      </w:pPr>
      <w:r>
        <w:rPr>
          <w:rFonts w:eastAsia="等线" w:ascii="Arial" w:cs="Arial" w:hAnsi="Arial"/>
          <w:sz w:val="22"/>
        </w:rPr>
        <w:t>通过安全邮件和加密链接手动传输给认证机构EuroCert，</w:t>
      </w:r>
      <w:r>
        <w:rPr>
          <w:rFonts w:eastAsia="等线" w:ascii="Arial" w:cs="Arial" w:hAnsi="Arial"/>
          <w:b w:val="true"/>
          <w:sz w:val="22"/>
        </w:rPr>
        <w:t>未实现API自动化</w:t>
      </w:r>
      <w:r>
        <w:rPr>
          <w:rFonts w:eastAsia="等线" w:ascii="Arial" w:cs="Arial" w:hAnsi="Arial"/>
          <w:sz w:val="22"/>
        </w:rPr>
        <w:t>。</w:t>
      </w:r>
    </w:p>
    <w:p>
      <w:pPr>
        <w:numPr>
          <w:numId w:val="67"/>
        </w:numPr>
        <w:spacing w:before="120" w:after="120" w:line="288" w:lineRule="auto"/>
        <w:ind w:left="0"/>
        <w:jc w:val="left"/>
      </w:pPr>
      <w:r>
        <w:rPr>
          <w:rFonts w:eastAsia="等线" w:ascii="Arial" w:cs="Arial" w:hAnsi="Arial"/>
          <w:b w:val="true"/>
          <w:sz w:val="22"/>
        </w:rPr>
        <w:t>D. 境外接收方信息</w:t>
      </w:r>
    </w:p>
    <w:p>
      <w:pPr>
        <w:numPr>
          <w:numId w:val="68"/>
        </w:numPr>
        <w:spacing w:before="120" w:after="120" w:line="288" w:lineRule="auto"/>
        <w:ind w:left="453"/>
        <w:jc w:val="left"/>
      </w:pPr>
      <w:r>
        <w:rPr>
          <w:rFonts w:eastAsia="等线" w:ascii="Arial" w:cs="Arial" w:hAnsi="Arial"/>
          <w:sz w:val="22"/>
        </w:rPr>
        <w:t>接收方：EuroCert（德国），是一家欧盟认可的认证机构。</w:t>
      </w:r>
    </w:p>
    <w:p>
      <w:pPr>
        <w:numPr>
          <w:numId w:val="69"/>
        </w:numPr>
        <w:spacing w:before="120" w:after="120" w:line="288" w:lineRule="auto"/>
        <w:ind w:left="453"/>
        <w:jc w:val="left"/>
      </w:pPr>
      <w:r>
        <w:rPr>
          <w:rFonts w:eastAsia="等线" w:ascii="Arial" w:cs="Arial" w:hAnsi="Arial"/>
          <w:b w:val="true"/>
          <w:sz w:val="22"/>
        </w:rPr>
        <w:t>风险点</w:t>
      </w:r>
      <w:r>
        <w:rPr>
          <w:rFonts w:eastAsia="等线" w:ascii="Arial" w:cs="Arial" w:hAnsi="Arial"/>
          <w:sz w:val="22"/>
        </w:rPr>
        <w:t>：用户提供了EuroCert的官网链接，声称其“获得欧盟授权”，但</w:t>
      </w:r>
      <w:r>
        <w:rPr>
          <w:rFonts w:eastAsia="等线" w:ascii="Arial" w:cs="Arial" w:hAnsi="Arial"/>
          <w:b w:val="true"/>
          <w:sz w:val="22"/>
        </w:rPr>
        <w:t>未提供其作为GDPR下认证机构的具体资质文件</w:t>
      </w:r>
      <w:r>
        <w:rPr>
          <w:rFonts w:eastAsia="等线" w:ascii="Arial" w:cs="Arial" w:hAnsi="Arial"/>
          <w:sz w:val="22"/>
        </w:rPr>
        <w:t>。</w:t>
      </w:r>
    </w:p>
    <w:p>
      <w:pPr>
        <w:numPr>
          <w:numId w:val="70"/>
        </w:numPr>
        <w:spacing w:before="120" w:after="120" w:line="288" w:lineRule="auto"/>
        <w:ind w:left="0"/>
        <w:jc w:val="left"/>
      </w:pPr>
      <w:r>
        <w:rPr>
          <w:rFonts w:eastAsia="等线" w:ascii="Arial" w:cs="Arial" w:hAnsi="Arial"/>
          <w:b w:val="true"/>
          <w:sz w:val="22"/>
        </w:rPr>
        <w:t>E. 法律文件</w:t>
      </w:r>
    </w:p>
    <w:p>
      <w:pPr>
        <w:numPr>
          <w:numId w:val="71"/>
        </w:numPr>
        <w:spacing w:before="120" w:after="120" w:line="288" w:lineRule="auto"/>
        <w:ind w:left="453"/>
        <w:jc w:val="left"/>
      </w:pPr>
      <w:r>
        <w:rPr>
          <w:rFonts w:eastAsia="等线" w:ascii="Arial" w:cs="Arial" w:hAnsi="Arial"/>
          <w:sz w:val="22"/>
        </w:rPr>
        <w:t>上传了与EuroCert的《认证服务合同》，其中包含数据保护附件。</w:t>
      </w:r>
    </w:p>
    <w:p>
      <w:pPr>
        <w:numPr>
          <w:numId w:val="72"/>
        </w:numPr>
        <w:spacing w:before="120" w:after="120" w:line="288" w:lineRule="auto"/>
        <w:ind w:left="453"/>
        <w:jc w:val="left"/>
      </w:pPr>
      <w:r>
        <w:rPr>
          <w:rFonts w:eastAsia="等线" w:ascii="Arial" w:cs="Arial" w:hAnsi="Arial"/>
          <w:b w:val="true"/>
          <w:sz w:val="22"/>
        </w:rPr>
        <w:t>风险点</w:t>
      </w:r>
      <w:r>
        <w:rPr>
          <w:rFonts w:eastAsia="等线" w:ascii="Arial" w:cs="Arial" w:hAnsi="Arial"/>
          <w:sz w:val="22"/>
        </w:rPr>
        <w:t>：附件中约定适用法律为</w:t>
      </w:r>
      <w:r>
        <w:rPr>
          <w:rFonts w:eastAsia="等线" w:ascii="Arial" w:cs="Arial" w:hAnsi="Arial"/>
          <w:b w:val="true"/>
          <w:sz w:val="22"/>
        </w:rPr>
        <w:t>德国法</w:t>
      </w:r>
      <w:r>
        <w:rPr>
          <w:rFonts w:eastAsia="等线" w:ascii="Arial" w:cs="Arial" w:hAnsi="Arial"/>
          <w:sz w:val="22"/>
        </w:rPr>
        <w:t>，争议解决法院为</w:t>
      </w:r>
      <w:r>
        <w:rPr>
          <w:rFonts w:eastAsia="等线" w:ascii="Arial" w:cs="Arial" w:hAnsi="Arial"/>
          <w:b w:val="true"/>
          <w:sz w:val="22"/>
        </w:rPr>
        <w:t>柏林地区法院</w:t>
      </w:r>
      <w:r>
        <w:rPr>
          <w:rFonts w:eastAsia="等线" w:ascii="Arial" w:cs="Arial" w:hAnsi="Arial"/>
          <w:sz w:val="22"/>
        </w:rPr>
        <w:t>。未提及对中国个人信息主体权益的保障。</w:t>
      </w:r>
    </w:p>
    <w:p>
      <w:pPr>
        <w:numPr>
          <w:numId w:val="73"/>
        </w:numPr>
        <w:spacing w:before="120" w:after="120" w:line="288" w:lineRule="auto"/>
        <w:ind w:left="0"/>
        <w:jc w:val="left"/>
      </w:pPr>
      <w:r>
        <w:rPr>
          <w:rFonts w:eastAsia="等线" w:ascii="Arial" w:cs="Arial" w:hAnsi="Arial"/>
          <w:b w:val="true"/>
          <w:sz w:val="22"/>
        </w:rPr>
        <w:t>G. 自我评估与整改情况</w:t>
      </w:r>
    </w:p>
    <w:p>
      <w:pPr>
        <w:numPr>
          <w:numId w:val="74"/>
        </w:numPr>
        <w:spacing w:before="120" w:after="120" w:line="288" w:lineRule="auto"/>
        <w:ind w:left="453"/>
        <w:jc w:val="left"/>
      </w:pPr>
      <w:r>
        <w:rPr>
          <w:rFonts w:eastAsia="等线" w:ascii="Arial" w:cs="Arial" w:hAnsi="Arial"/>
          <w:sz w:val="22"/>
        </w:rPr>
        <w:t>用户对“接收方所在国法律政策影响”评估勾选“不确定”，理由是不熟悉德国数据保护法对认证机构的具体约束。</w:t>
      </w:r>
    </w:p>
    <w:p>
      <w:pPr>
        <w:spacing w:before="120" w:after="120" w:line="288" w:lineRule="auto"/>
        <w:ind w:left="0"/>
        <w:jc w:val="left"/>
      </w:pPr>
      <w:r>
        <w:rPr>
          <w:rFonts w:eastAsia="等线" w:ascii="Arial" w:cs="Arial" w:hAnsi="Arial"/>
          <w:b w:val="true"/>
          <w:sz w:val="22"/>
        </w:rPr>
        <w:t>预期输出</w:t>
      </w:r>
      <w:r>
        <w:rPr>
          <w:rFonts w:eastAsia="等线" w:ascii="Arial" w:cs="Arial" w:hAnsi="Arial"/>
          <w:sz w:val="22"/>
        </w:rPr>
        <w:t>：</w:t>
      </w:r>
    </w:p>
    <w:p>
      <w:pPr>
        <w:numPr>
          <w:numId w:val="75"/>
        </w:numPr>
        <w:spacing w:before="120" w:after="120" w:line="288" w:lineRule="auto"/>
        <w:ind w:left="0"/>
        <w:jc w:val="left"/>
      </w:pPr>
      <w:r>
        <w:rPr>
          <w:rFonts w:eastAsia="等线" w:ascii="Arial" w:cs="Arial" w:hAnsi="Arial"/>
          <w:b w:val="true"/>
          <w:sz w:val="22"/>
        </w:rPr>
        <w:t>核心结论</w:t>
      </w:r>
      <w:r>
        <w:rPr>
          <w:rFonts w:eastAsia="等线" w:ascii="Arial" w:cs="Arial" w:hAnsi="Arial"/>
          <w:sz w:val="22"/>
        </w:rPr>
        <w:t>：累计出境个人信息不足10万，且涉及敏感信息（？需判断联系人信息是否构成敏感个人信息），初步判断可适用“认证”路径。但</w:t>
      </w:r>
      <w:r>
        <w:rPr>
          <w:rFonts w:eastAsia="等线" w:ascii="Arial" w:cs="Arial" w:hAnsi="Arial"/>
          <w:b w:val="true"/>
          <w:sz w:val="22"/>
        </w:rPr>
        <w:t>当前选择的认证机构（EuroCert）是否为中国网信部门认可的“专业认证机构”存疑</w:t>
      </w:r>
      <w:r>
        <w:rPr>
          <w:rFonts w:eastAsia="等线" w:ascii="Arial" w:cs="Arial" w:hAnsi="Arial"/>
          <w:sz w:val="22"/>
        </w:rPr>
        <w:t>，且合法性基础、法律文件、风险评估均存在重大问题。</w:t>
      </w:r>
    </w:p>
    <w:p>
      <w:pPr>
        <w:numPr>
          <w:numId w:val="76"/>
        </w:numPr>
        <w:spacing w:before="120" w:after="120" w:line="288" w:lineRule="auto"/>
        <w:ind w:left="0"/>
        <w:jc w:val="left"/>
      </w:pPr>
      <w:r>
        <w:rPr>
          <w:rFonts w:eastAsia="等线" w:ascii="Arial" w:cs="Arial" w:hAnsi="Arial"/>
          <w:b w:val="true"/>
          <w:sz w:val="22"/>
        </w:rPr>
        <w:t>生成的PIPIA报告（草案）关键内容</w:t>
      </w:r>
      <w:r>
        <w:rPr>
          <w:rFonts w:eastAsia="等线" w:ascii="Arial" w:cs="Arial" w:hAnsi="Arial"/>
          <w:sz w:val="22"/>
        </w:rPr>
        <w:t>：</w:t>
      </w:r>
    </w:p>
    <w:p>
      <w:pPr>
        <w:numPr>
          <w:numId w:val="77"/>
        </w:numPr>
        <w:spacing w:before="120" w:after="120" w:line="288" w:lineRule="auto"/>
        <w:ind w:left="453"/>
        <w:jc w:val="left"/>
      </w:pPr>
      <w:r>
        <w:rPr>
          <w:rFonts w:eastAsia="等线" w:ascii="Arial" w:cs="Arial" w:hAnsi="Arial"/>
          <w:b w:val="true"/>
          <w:sz w:val="22"/>
        </w:rPr>
        <w:t>合法性</w:t>
      </w:r>
      <w:r>
        <w:rPr>
          <w:rFonts w:eastAsia="等线" w:ascii="Arial" w:cs="Arial" w:hAnsi="Arial"/>
          <w:sz w:val="22"/>
        </w:rPr>
        <w:t>：质疑将“欧盟认证要求”作为中国法下“法定义务”的合法性，建议强化基于“合同所必需”或“个人同意”的论证。</w:t>
      </w:r>
    </w:p>
    <w:p>
      <w:pPr>
        <w:numPr>
          <w:numId w:val="78"/>
        </w:numPr>
        <w:spacing w:before="120" w:after="120" w:line="288" w:lineRule="auto"/>
        <w:ind w:left="453"/>
        <w:jc w:val="left"/>
      </w:pPr>
      <w:r>
        <w:rPr>
          <w:rFonts w:eastAsia="等线" w:ascii="Arial" w:cs="Arial" w:hAnsi="Arial"/>
          <w:b w:val="true"/>
          <w:sz w:val="22"/>
        </w:rPr>
        <w:t>接收方</w:t>
      </w:r>
      <w:r>
        <w:rPr>
          <w:rFonts w:eastAsia="等线" w:ascii="Arial" w:cs="Arial" w:hAnsi="Arial"/>
          <w:sz w:val="22"/>
        </w:rPr>
        <w:t>：明确指出，用于出境合规的“认证”，必须是依据中国《个人信息保护认证实施规则》的认证，而非欧盟的业务资质认证。当前接收方不符合要求。</w:t>
      </w:r>
    </w:p>
    <w:p>
      <w:pPr>
        <w:numPr>
          <w:numId w:val="79"/>
        </w:numPr>
        <w:spacing w:before="120" w:after="120" w:line="288" w:lineRule="auto"/>
        <w:ind w:left="453"/>
        <w:jc w:val="left"/>
      </w:pPr>
      <w:r>
        <w:rPr>
          <w:rFonts w:eastAsia="等线" w:ascii="Arial" w:cs="Arial" w:hAnsi="Arial"/>
          <w:b w:val="true"/>
          <w:sz w:val="22"/>
        </w:rPr>
        <w:t>法律文件</w:t>
      </w:r>
      <w:r>
        <w:rPr>
          <w:rFonts w:eastAsia="等线" w:ascii="Arial" w:cs="Arial" w:hAnsi="Arial"/>
          <w:sz w:val="22"/>
        </w:rPr>
        <w:t>：高亮法律适用和管辖条款对中国个人信息主体带来的维权障碍和不可预测性，风险极高。</w:t>
      </w:r>
    </w:p>
    <w:p>
      <w:pPr>
        <w:numPr>
          <w:numId w:val="80"/>
        </w:numPr>
        <w:spacing w:before="120" w:after="120" w:line="288" w:lineRule="auto"/>
        <w:ind w:left="453"/>
        <w:jc w:val="left"/>
      </w:pPr>
      <w:r>
        <w:rPr>
          <w:rFonts w:eastAsia="等线" w:ascii="Arial" w:cs="Arial" w:hAnsi="Arial"/>
          <w:b w:val="true"/>
          <w:sz w:val="22"/>
        </w:rPr>
        <w:t>评估结论</w:t>
      </w:r>
      <w:r>
        <w:rPr>
          <w:rFonts w:eastAsia="等线" w:ascii="Arial" w:cs="Arial" w:hAnsi="Arial"/>
          <w:sz w:val="22"/>
        </w:rPr>
        <w:t>：在未更换认证机构、未修订法律文件、未夯实合法性基础前，风险不可接受。</w:t>
      </w:r>
    </w:p>
    <w:p>
      <w:pPr>
        <w:numPr>
          <w:numId w:val="81"/>
        </w:numPr>
        <w:spacing w:before="120" w:after="120" w:line="288" w:lineRule="auto"/>
        <w:ind w:left="0"/>
        <w:jc w:val="left"/>
      </w:pPr>
      <w:r>
        <w:rPr>
          <w:rFonts w:eastAsia="等线" w:ascii="Arial" w:cs="Arial" w:hAnsi="Arial"/>
          <w:b w:val="true"/>
          <w:sz w:val="22"/>
        </w:rPr>
        <w:t>《生成逻辑说明》中的重点提示</w:t>
      </w:r>
      <w:r>
        <w:rPr>
          <w:rFonts w:eastAsia="等线" w:ascii="Arial" w:cs="Arial" w:hAnsi="Arial"/>
          <w:sz w:val="22"/>
        </w:rPr>
        <w:t>：</w:t>
      </w:r>
    </w:p>
    <w:p>
      <w:pPr>
        <w:numPr>
          <w:numId w:val="82"/>
        </w:numPr>
        <w:spacing w:before="120" w:after="120" w:line="288" w:lineRule="auto"/>
        <w:ind w:left="453"/>
        <w:jc w:val="left"/>
      </w:pPr>
      <w:r>
        <w:rPr>
          <w:rFonts w:eastAsia="等线" w:ascii="Arial" w:cs="Arial" w:hAnsi="Arial"/>
          <w:b w:val="true"/>
          <w:sz w:val="22"/>
        </w:rPr>
        <w:t>核心概念辨析</w:t>
      </w:r>
      <w:r>
        <w:rPr>
          <w:rFonts w:eastAsia="等线" w:ascii="Arial" w:cs="Arial" w:hAnsi="Arial"/>
          <w:sz w:val="22"/>
        </w:rPr>
        <w:t>：清晰说明“为满足业务准入的认证”与“作为数据出境合法路径的《个人信息保护认证》”是两件不同的事。用户需寻找</w:t>
      </w:r>
      <w:r>
        <w:rPr>
          <w:rFonts w:eastAsia="等线" w:ascii="Arial" w:cs="Arial" w:hAnsi="Arial"/>
          <w:b w:val="true"/>
          <w:sz w:val="22"/>
        </w:rPr>
        <w:t>中国认可的专业认证机构</w:t>
      </w:r>
      <w:r>
        <w:rPr>
          <w:rFonts w:eastAsia="等线" w:ascii="Arial" w:cs="Arial" w:hAnsi="Arial"/>
          <w:sz w:val="22"/>
        </w:rPr>
        <w:t>来对自身的出境活动进行认证。</w:t>
      </w:r>
    </w:p>
    <w:p>
      <w:pPr>
        <w:numPr>
          <w:numId w:val="83"/>
        </w:numPr>
        <w:spacing w:before="120" w:after="120" w:line="288" w:lineRule="auto"/>
        <w:ind w:left="453"/>
        <w:jc w:val="left"/>
      </w:pPr>
      <w:r>
        <w:rPr>
          <w:rFonts w:eastAsia="等线" w:ascii="Arial" w:cs="Arial" w:hAnsi="Arial"/>
          <w:b w:val="true"/>
          <w:sz w:val="22"/>
        </w:rPr>
        <w:t>高风险项</w:t>
      </w:r>
      <w:r>
        <w:rPr>
          <w:rFonts w:eastAsia="等线" w:ascii="Arial" w:cs="Arial" w:hAnsi="Arial"/>
          <w:sz w:val="22"/>
        </w:rPr>
        <w:t>：法律文件管辖条款、接收方资质不符。</w:t>
      </w:r>
    </w:p>
    <w:p>
      <w:pPr>
        <w:numPr>
          <w:numId w:val="84"/>
        </w:numPr>
        <w:spacing w:before="120" w:after="120" w:line="288" w:lineRule="auto"/>
        <w:ind w:left="453"/>
        <w:jc w:val="left"/>
      </w:pPr>
      <w:r>
        <w:rPr>
          <w:rFonts w:eastAsia="等线" w:ascii="Arial" w:cs="Arial" w:hAnsi="Arial"/>
          <w:b w:val="true"/>
          <w:sz w:val="22"/>
        </w:rPr>
        <w:t>行动建议</w:t>
      </w:r>
      <w:r>
        <w:rPr>
          <w:rFonts w:eastAsia="等线" w:ascii="Arial" w:cs="Arial" w:hAnsi="Arial"/>
          <w:sz w:val="22"/>
        </w:rPr>
        <w:t>：1) 重新寻找并签约中国认可的认证机构；2) 与EuroCert的协议需增加对中国法律强制性规定的遵守条款及对个人信息主体的保护性约定；3) 重新评估并确定合法性基础。</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7556">
    <w:lvl>
      <w:numFmt w:val="bullet"/>
      <w:suff w:val="tab"/>
      <w:lvlText w:val="•"/>
      <w:rPr>
        <w:color w:val="3370ff"/>
      </w:rPr>
    </w:lvl>
  </w:abstractNum>
  <w:abstractNum w:abstractNumId="57557">
    <w:lvl>
      <w:numFmt w:val="bullet"/>
      <w:suff w:val="tab"/>
      <w:lvlText w:val="￮"/>
      <w:rPr>
        <w:color w:val="3370ff"/>
      </w:rPr>
    </w:lvl>
  </w:abstractNum>
  <w:abstractNum w:abstractNumId="57558">
    <w:lvl>
      <w:numFmt w:val="bullet"/>
      <w:suff w:val="tab"/>
      <w:lvlText w:val="￮"/>
      <w:rPr>
        <w:color w:val="3370ff"/>
      </w:rPr>
    </w:lvl>
  </w:abstractNum>
  <w:abstractNum w:abstractNumId="57559">
    <w:lvl>
      <w:numFmt w:val="bullet"/>
      <w:suff w:val="tab"/>
      <w:lvlText w:val="￮"/>
      <w:rPr>
        <w:color w:val="3370ff"/>
      </w:rPr>
    </w:lvl>
  </w:abstractNum>
  <w:abstractNum w:abstractNumId="57560">
    <w:lvl>
      <w:numFmt w:val="bullet"/>
      <w:suff w:val="tab"/>
      <w:lvlText w:val="￮"/>
      <w:rPr>
        <w:color w:val="3370ff"/>
      </w:rPr>
    </w:lvl>
  </w:abstractNum>
  <w:abstractNum w:abstractNumId="57561">
    <w:lvl>
      <w:numFmt w:val="bullet"/>
      <w:suff w:val="tab"/>
      <w:lvlText w:val="￮"/>
      <w:rPr>
        <w:color w:val="3370ff"/>
      </w:rPr>
    </w:lvl>
  </w:abstractNum>
  <w:abstractNum w:abstractNumId="57562">
    <w:lvl>
      <w:numFmt w:val="bullet"/>
      <w:suff w:val="tab"/>
      <w:lvlText w:val="•"/>
      <w:rPr>
        <w:color w:val="3370ff"/>
      </w:rPr>
    </w:lvl>
  </w:abstractNum>
  <w:abstractNum w:abstractNumId="57563">
    <w:lvl>
      <w:numFmt w:val="bullet"/>
      <w:suff w:val="tab"/>
      <w:lvlText w:val="￮"/>
      <w:rPr>
        <w:color w:val="3370ff"/>
      </w:rPr>
    </w:lvl>
  </w:abstractNum>
  <w:abstractNum w:abstractNumId="57564">
    <w:lvl>
      <w:numFmt w:val="bullet"/>
      <w:suff w:val="tab"/>
      <w:lvlText w:val="￮"/>
      <w:rPr>
        <w:color w:val="3370ff"/>
      </w:rPr>
    </w:lvl>
  </w:abstractNum>
  <w:abstractNum w:abstractNumId="57565">
    <w:lvl>
      <w:numFmt w:val="bullet"/>
      <w:suff w:val="tab"/>
      <w:lvlText w:val="￮"/>
      <w:rPr>
        <w:color w:val="3370ff"/>
      </w:rPr>
    </w:lvl>
  </w:abstractNum>
  <w:abstractNum w:abstractNumId="57566">
    <w:lvl>
      <w:numFmt w:val="bullet"/>
      <w:suff w:val="tab"/>
      <w:lvlText w:val="•"/>
      <w:rPr>
        <w:color w:val="3370ff"/>
      </w:rPr>
    </w:lvl>
  </w:abstractNum>
  <w:abstractNum w:abstractNumId="57567">
    <w:lvl>
      <w:numFmt w:val="bullet"/>
      <w:suff w:val="tab"/>
      <w:lvlText w:val="￮"/>
      <w:rPr>
        <w:color w:val="3370ff"/>
      </w:rPr>
    </w:lvl>
  </w:abstractNum>
  <w:abstractNum w:abstractNumId="57568">
    <w:lvl>
      <w:numFmt w:val="bullet"/>
      <w:suff w:val="tab"/>
      <w:lvlText w:val="•"/>
      <w:rPr>
        <w:color w:val="3370ff"/>
      </w:rPr>
    </w:lvl>
  </w:abstractNum>
  <w:abstractNum w:abstractNumId="57569">
    <w:lvl>
      <w:numFmt w:val="bullet"/>
      <w:suff w:val="tab"/>
      <w:lvlText w:val="￮"/>
      <w:rPr>
        <w:color w:val="3370ff"/>
      </w:rPr>
    </w:lvl>
  </w:abstractNum>
  <w:abstractNum w:abstractNumId="57570">
    <w:lvl>
      <w:numFmt w:val="bullet"/>
      <w:suff w:val="tab"/>
      <w:lvlText w:val="￮"/>
      <w:rPr>
        <w:color w:val="3370ff"/>
      </w:rPr>
    </w:lvl>
  </w:abstractNum>
  <w:abstractNum w:abstractNumId="57571">
    <w:lvl>
      <w:numFmt w:val="bullet"/>
      <w:suff w:val="tab"/>
      <w:lvlText w:val="•"/>
      <w:rPr>
        <w:color w:val="3370ff"/>
      </w:rPr>
    </w:lvl>
  </w:abstractNum>
  <w:abstractNum w:abstractNumId="57572">
    <w:lvl>
      <w:numFmt w:val="bullet"/>
      <w:suff w:val="tab"/>
      <w:lvlText w:val="￮"/>
      <w:rPr>
        <w:color w:val="3370ff"/>
      </w:rPr>
    </w:lvl>
  </w:abstractNum>
  <w:abstractNum w:abstractNumId="57573">
    <w:lvl>
      <w:numFmt w:val="bullet"/>
      <w:suff w:val="tab"/>
      <w:lvlText w:val="•"/>
      <w:rPr>
        <w:color w:val="3370ff"/>
      </w:rPr>
    </w:lvl>
  </w:abstractNum>
  <w:abstractNum w:abstractNumId="57574">
    <w:lvl>
      <w:numFmt w:val="bullet"/>
      <w:suff w:val="tab"/>
      <w:lvlText w:val="￮"/>
      <w:rPr>
        <w:color w:val="3370ff"/>
      </w:rPr>
    </w:lvl>
  </w:abstractNum>
  <w:abstractNum w:abstractNumId="57575">
    <w:lvl>
      <w:numFmt w:val="bullet"/>
      <w:suff w:val="tab"/>
      <w:lvlText w:val="￮"/>
      <w:rPr>
        <w:color w:val="3370ff"/>
      </w:rPr>
    </w:lvl>
  </w:abstractNum>
  <w:abstractNum w:abstractNumId="57576">
    <w:lvl>
      <w:numFmt w:val="bullet"/>
      <w:suff w:val="tab"/>
      <w:lvlText w:val="•"/>
      <w:rPr>
        <w:color w:val="3370ff"/>
      </w:rPr>
    </w:lvl>
  </w:abstractNum>
  <w:abstractNum w:abstractNumId="57577">
    <w:lvl>
      <w:numFmt w:val="bullet"/>
      <w:suff w:val="tab"/>
      <w:lvlText w:val="￮"/>
      <w:rPr>
        <w:color w:val="3370ff"/>
      </w:rPr>
    </w:lvl>
  </w:abstractNum>
  <w:abstractNum w:abstractNumId="57578">
    <w:lvl>
      <w:start w:val="1"/>
      <w:numFmt w:val="decimal"/>
      <w:suff w:val="tab"/>
      <w:lvlText w:val="%1."/>
      <w:rPr>
        <w:color w:val="3370ff"/>
      </w:rPr>
    </w:lvl>
  </w:abstractNum>
  <w:abstractNum w:abstractNumId="57579">
    <w:lvl>
      <w:start w:val="2"/>
      <w:numFmt w:val="decimal"/>
      <w:suff w:val="tab"/>
      <w:lvlText w:val="%1."/>
      <w:rPr>
        <w:color w:val="3370ff"/>
      </w:rPr>
    </w:lvl>
  </w:abstractNum>
  <w:abstractNum w:abstractNumId="57580">
    <w:lvl>
      <w:numFmt w:val="bullet"/>
      <w:suff w:val="tab"/>
      <w:lvlText w:val="￮"/>
      <w:rPr>
        <w:color w:val="3370ff"/>
      </w:rPr>
    </w:lvl>
  </w:abstractNum>
  <w:abstractNum w:abstractNumId="57581">
    <w:lvl>
      <w:numFmt w:val="bullet"/>
      <w:suff w:val="tab"/>
      <w:lvlText w:val="￮"/>
      <w:rPr>
        <w:color w:val="3370ff"/>
      </w:rPr>
    </w:lvl>
  </w:abstractNum>
  <w:abstractNum w:abstractNumId="57582">
    <w:lvl>
      <w:numFmt w:val="bullet"/>
      <w:suff w:val="tab"/>
      <w:lvlText w:val="￮"/>
      <w:rPr>
        <w:color w:val="3370ff"/>
      </w:rPr>
    </w:lvl>
  </w:abstractNum>
  <w:abstractNum w:abstractNumId="57583">
    <w:lvl>
      <w:numFmt w:val="bullet"/>
      <w:suff w:val="tab"/>
      <w:lvlText w:val="￮"/>
      <w:rPr>
        <w:color w:val="3370ff"/>
      </w:rPr>
    </w:lvl>
  </w:abstractNum>
  <w:abstractNum w:abstractNumId="57584">
    <w:lvl>
      <w:numFmt w:val="bullet"/>
      <w:suff w:val="tab"/>
      <w:lvlText w:val="￮"/>
      <w:rPr>
        <w:color w:val="3370ff"/>
      </w:rPr>
    </w:lvl>
  </w:abstractNum>
  <w:abstractNum w:abstractNumId="57585">
    <w:lvl>
      <w:numFmt w:val="bullet"/>
      <w:suff w:val="tab"/>
      <w:lvlText w:val="￮"/>
      <w:rPr>
        <w:color w:val="3370ff"/>
      </w:rPr>
    </w:lvl>
  </w:abstractNum>
  <w:abstractNum w:abstractNumId="57586">
    <w:lvl>
      <w:start w:val="3"/>
      <w:numFmt w:val="decimal"/>
      <w:suff w:val="tab"/>
      <w:lvlText w:val="%1."/>
      <w:rPr>
        <w:color w:val="3370ff"/>
      </w:rPr>
    </w:lvl>
  </w:abstractNum>
  <w:abstractNum w:abstractNumId="57587">
    <w:lvl>
      <w:numFmt w:val="bullet"/>
      <w:suff w:val="tab"/>
      <w:lvlText w:val="￮"/>
      <w:rPr>
        <w:color w:val="3370ff"/>
      </w:rPr>
    </w:lvl>
  </w:abstractNum>
  <w:abstractNum w:abstractNumId="57588">
    <w:lvl>
      <w:numFmt w:val="bullet"/>
      <w:suff w:val="tab"/>
      <w:lvlText w:val="￮"/>
      <w:rPr>
        <w:color w:val="3370ff"/>
      </w:rPr>
    </w:lvl>
  </w:abstractNum>
  <w:abstractNum w:abstractNumId="57589">
    <w:lvl>
      <w:numFmt w:val="bullet"/>
      <w:suff w:val="tab"/>
      <w:lvlText w:val="￮"/>
      <w:rPr>
        <w:color w:val="3370ff"/>
      </w:rPr>
    </w:lvl>
  </w:abstractNum>
  <w:abstractNum w:abstractNumId="57590">
    <w:lvl>
      <w:numFmt w:val="bullet"/>
      <w:suff w:val="tab"/>
      <w:lvlText w:val="•"/>
      <w:rPr>
        <w:color w:val="3370ff"/>
      </w:rPr>
    </w:lvl>
  </w:abstractNum>
  <w:abstractNum w:abstractNumId="57591">
    <w:lvl>
      <w:numFmt w:val="bullet"/>
      <w:suff w:val="tab"/>
      <w:lvlText w:val="￮"/>
      <w:rPr>
        <w:color w:val="3370ff"/>
      </w:rPr>
    </w:lvl>
  </w:abstractNum>
  <w:abstractNum w:abstractNumId="57592">
    <w:lvl>
      <w:numFmt w:val="bullet"/>
      <w:suff w:val="tab"/>
      <w:lvlText w:val="￮"/>
      <w:rPr>
        <w:color w:val="3370ff"/>
      </w:rPr>
    </w:lvl>
  </w:abstractNum>
  <w:abstractNum w:abstractNumId="57593">
    <w:lvl>
      <w:numFmt w:val="bullet"/>
      <w:suff w:val="tab"/>
      <w:lvlText w:val="•"/>
      <w:rPr>
        <w:color w:val="3370ff"/>
      </w:rPr>
    </w:lvl>
  </w:abstractNum>
  <w:abstractNum w:abstractNumId="57594">
    <w:lvl>
      <w:numFmt w:val="bullet"/>
      <w:suff w:val="tab"/>
      <w:lvlText w:val="￮"/>
      <w:rPr>
        <w:color w:val="3370ff"/>
      </w:rPr>
    </w:lvl>
  </w:abstractNum>
  <w:abstractNum w:abstractNumId="57595">
    <w:lvl>
      <w:numFmt w:val="bullet"/>
      <w:suff w:val="tab"/>
      <w:lvlText w:val="￮"/>
      <w:rPr>
        <w:color w:val="3370ff"/>
      </w:rPr>
    </w:lvl>
  </w:abstractNum>
  <w:abstractNum w:abstractNumId="57596">
    <w:lvl>
      <w:numFmt w:val="bullet"/>
      <w:suff w:val="tab"/>
      <w:lvlText w:val="•"/>
      <w:rPr>
        <w:color w:val="3370ff"/>
      </w:rPr>
    </w:lvl>
  </w:abstractNum>
  <w:abstractNum w:abstractNumId="57597">
    <w:lvl>
      <w:numFmt w:val="bullet"/>
      <w:suff w:val="tab"/>
      <w:lvlText w:val="￮"/>
      <w:rPr>
        <w:color w:val="3370ff"/>
      </w:rPr>
    </w:lvl>
  </w:abstractNum>
  <w:abstractNum w:abstractNumId="57598">
    <w:lvl>
      <w:numFmt w:val="bullet"/>
      <w:suff w:val="tab"/>
      <w:lvlText w:val="￮"/>
      <w:rPr>
        <w:color w:val="3370ff"/>
      </w:rPr>
    </w:lvl>
  </w:abstractNum>
  <w:abstractNum w:abstractNumId="57599">
    <w:lvl>
      <w:numFmt w:val="bullet"/>
      <w:suff w:val="tab"/>
      <w:lvlText w:val="•"/>
      <w:rPr>
        <w:color w:val="3370ff"/>
      </w:rPr>
    </w:lvl>
  </w:abstractNum>
  <w:abstractNum w:abstractNumId="57600">
    <w:lvl>
      <w:numFmt w:val="bullet"/>
      <w:suff w:val="tab"/>
      <w:lvlText w:val="￮"/>
      <w:rPr>
        <w:color w:val="3370ff"/>
      </w:rPr>
    </w:lvl>
  </w:abstractNum>
  <w:abstractNum w:abstractNumId="57601">
    <w:lvl>
      <w:numFmt w:val="bullet"/>
      <w:suff w:val="tab"/>
      <w:lvlText w:val="￮"/>
      <w:rPr>
        <w:color w:val="3370ff"/>
      </w:rPr>
    </w:lvl>
  </w:abstractNum>
  <w:abstractNum w:abstractNumId="57602">
    <w:lvl>
      <w:numFmt w:val="bullet"/>
      <w:suff w:val="tab"/>
      <w:lvlText w:val="•"/>
      <w:rPr>
        <w:color w:val="3370ff"/>
      </w:rPr>
    </w:lvl>
  </w:abstractNum>
  <w:abstractNum w:abstractNumId="57603">
    <w:lvl>
      <w:numFmt w:val="bullet"/>
      <w:suff w:val="tab"/>
      <w:lvlText w:val="￮"/>
      <w:rPr>
        <w:color w:val="3370ff"/>
      </w:rPr>
    </w:lvl>
  </w:abstractNum>
  <w:abstractNum w:abstractNumId="57604">
    <w:lvl>
      <w:start w:val="1"/>
      <w:numFmt w:val="decimal"/>
      <w:suff w:val="tab"/>
      <w:lvlText w:val="%1."/>
      <w:rPr>
        <w:color w:val="3370ff"/>
      </w:rPr>
    </w:lvl>
  </w:abstractNum>
  <w:abstractNum w:abstractNumId="57605">
    <w:lvl>
      <w:start w:val="2"/>
      <w:numFmt w:val="decimal"/>
      <w:suff w:val="tab"/>
      <w:lvlText w:val="%1."/>
      <w:rPr>
        <w:color w:val="3370ff"/>
      </w:rPr>
    </w:lvl>
  </w:abstractNum>
  <w:abstractNum w:abstractNumId="57606">
    <w:lvl>
      <w:numFmt w:val="bullet"/>
      <w:suff w:val="tab"/>
      <w:lvlText w:val="￮"/>
      <w:rPr>
        <w:color w:val="3370ff"/>
      </w:rPr>
    </w:lvl>
  </w:abstractNum>
  <w:abstractNum w:abstractNumId="57607">
    <w:lvl>
      <w:numFmt w:val="bullet"/>
      <w:suff w:val="tab"/>
      <w:lvlText w:val="￮"/>
      <w:rPr>
        <w:color w:val="3370ff"/>
      </w:rPr>
    </w:lvl>
  </w:abstractNum>
  <w:abstractNum w:abstractNumId="57608">
    <w:lvl>
      <w:numFmt w:val="bullet"/>
      <w:suff w:val="tab"/>
      <w:lvlText w:val="￮"/>
      <w:rPr>
        <w:color w:val="3370ff"/>
      </w:rPr>
    </w:lvl>
  </w:abstractNum>
  <w:abstractNum w:abstractNumId="57609">
    <w:lvl>
      <w:numFmt w:val="bullet"/>
      <w:suff w:val="tab"/>
      <w:lvlText w:val="￮"/>
      <w:rPr>
        <w:color w:val="3370ff"/>
      </w:rPr>
    </w:lvl>
  </w:abstractNum>
  <w:abstractNum w:abstractNumId="57610">
    <w:lvl>
      <w:start w:val="3"/>
      <w:numFmt w:val="decimal"/>
      <w:suff w:val="tab"/>
      <w:lvlText w:val="%1."/>
      <w:rPr>
        <w:color w:val="3370ff"/>
      </w:rPr>
    </w:lvl>
  </w:abstractNum>
  <w:abstractNum w:abstractNumId="57611">
    <w:lvl>
      <w:numFmt w:val="bullet"/>
      <w:suff w:val="tab"/>
      <w:lvlText w:val="￮"/>
      <w:rPr>
        <w:color w:val="3370ff"/>
      </w:rPr>
    </w:lvl>
  </w:abstractNum>
  <w:abstractNum w:abstractNumId="57612">
    <w:lvl>
      <w:numFmt w:val="bullet"/>
      <w:suff w:val="tab"/>
      <w:lvlText w:val="￮"/>
      <w:rPr>
        <w:color w:val="3370ff"/>
      </w:rPr>
    </w:lvl>
  </w:abstractNum>
  <w:abstractNum w:abstractNumId="57613">
    <w:lvl>
      <w:numFmt w:val="bullet"/>
      <w:suff w:val="tab"/>
      <w:lvlText w:val="•"/>
      <w:rPr>
        <w:color w:val="3370ff"/>
      </w:rPr>
    </w:lvl>
  </w:abstractNum>
  <w:abstractNum w:abstractNumId="57614">
    <w:lvl>
      <w:numFmt w:val="bullet"/>
      <w:suff w:val="tab"/>
      <w:lvlText w:val="￮"/>
      <w:rPr>
        <w:color w:val="3370ff"/>
      </w:rPr>
    </w:lvl>
  </w:abstractNum>
  <w:abstractNum w:abstractNumId="57615">
    <w:lvl>
      <w:numFmt w:val="bullet"/>
      <w:suff w:val="tab"/>
      <w:lvlText w:val="￮"/>
      <w:rPr>
        <w:color w:val="3370ff"/>
      </w:rPr>
    </w:lvl>
  </w:abstractNum>
  <w:abstractNum w:abstractNumId="57616">
    <w:lvl>
      <w:numFmt w:val="bullet"/>
      <w:suff w:val="tab"/>
      <w:lvlText w:val="￮"/>
      <w:rPr>
        <w:color w:val="3370ff"/>
      </w:rPr>
    </w:lvl>
  </w:abstractNum>
  <w:abstractNum w:abstractNumId="57617">
    <w:lvl>
      <w:numFmt w:val="bullet"/>
      <w:suff w:val="tab"/>
      <w:lvlText w:val="•"/>
      <w:rPr>
        <w:color w:val="3370ff"/>
      </w:rPr>
    </w:lvl>
  </w:abstractNum>
  <w:abstractNum w:abstractNumId="57618">
    <w:lvl>
      <w:numFmt w:val="bullet"/>
      <w:suff w:val="tab"/>
      <w:lvlText w:val="￮"/>
      <w:rPr>
        <w:color w:val="3370ff"/>
      </w:rPr>
    </w:lvl>
  </w:abstractNum>
  <w:abstractNum w:abstractNumId="57619">
    <w:lvl>
      <w:numFmt w:val="bullet"/>
      <w:suff w:val="tab"/>
      <w:lvlText w:val="￮"/>
      <w:rPr>
        <w:color w:val="3370ff"/>
      </w:rPr>
    </w:lvl>
  </w:abstractNum>
  <w:abstractNum w:abstractNumId="57620">
    <w:lvl>
      <w:numFmt w:val="bullet"/>
      <w:suff w:val="tab"/>
      <w:lvlText w:val="•"/>
      <w:rPr>
        <w:color w:val="3370ff"/>
      </w:rPr>
    </w:lvl>
  </w:abstractNum>
  <w:abstractNum w:abstractNumId="57621">
    <w:lvl>
      <w:numFmt w:val="bullet"/>
      <w:suff w:val="tab"/>
      <w:lvlText w:val="￮"/>
      <w:rPr>
        <w:color w:val="3370ff"/>
      </w:rPr>
    </w:lvl>
  </w:abstractNum>
  <w:abstractNum w:abstractNumId="57622">
    <w:lvl>
      <w:numFmt w:val="bullet"/>
      <w:suff w:val="tab"/>
      <w:lvlText w:val="•"/>
      <w:rPr>
        <w:color w:val="3370ff"/>
      </w:rPr>
    </w:lvl>
  </w:abstractNum>
  <w:abstractNum w:abstractNumId="57623">
    <w:lvl>
      <w:numFmt w:val="bullet"/>
      <w:suff w:val="tab"/>
      <w:lvlText w:val="￮"/>
      <w:rPr>
        <w:color w:val="3370ff"/>
      </w:rPr>
    </w:lvl>
  </w:abstractNum>
  <w:abstractNum w:abstractNumId="57624">
    <w:lvl>
      <w:numFmt w:val="bullet"/>
      <w:suff w:val="tab"/>
      <w:lvlText w:val="￮"/>
      <w:rPr>
        <w:color w:val="3370ff"/>
      </w:rPr>
    </w:lvl>
  </w:abstractNum>
  <w:abstractNum w:abstractNumId="57625">
    <w:lvl>
      <w:numFmt w:val="bullet"/>
      <w:suff w:val="tab"/>
      <w:lvlText w:val="•"/>
      <w:rPr>
        <w:color w:val="3370ff"/>
      </w:rPr>
    </w:lvl>
  </w:abstractNum>
  <w:abstractNum w:abstractNumId="57626">
    <w:lvl>
      <w:numFmt w:val="bullet"/>
      <w:suff w:val="tab"/>
      <w:lvlText w:val="￮"/>
      <w:rPr>
        <w:color w:val="3370ff"/>
      </w:rPr>
    </w:lvl>
  </w:abstractNum>
  <w:abstractNum w:abstractNumId="57627">
    <w:lvl>
      <w:numFmt w:val="bullet"/>
      <w:suff w:val="tab"/>
      <w:lvlText w:val="￮"/>
      <w:rPr>
        <w:color w:val="3370ff"/>
      </w:rPr>
    </w:lvl>
  </w:abstractNum>
  <w:abstractNum w:abstractNumId="57628">
    <w:lvl>
      <w:numFmt w:val="bullet"/>
      <w:suff w:val="tab"/>
      <w:lvlText w:val="•"/>
      <w:rPr>
        <w:color w:val="3370ff"/>
      </w:rPr>
    </w:lvl>
  </w:abstractNum>
  <w:abstractNum w:abstractNumId="57629">
    <w:lvl>
      <w:numFmt w:val="bullet"/>
      <w:suff w:val="tab"/>
      <w:lvlText w:val="￮"/>
      <w:rPr>
        <w:color w:val="3370ff"/>
      </w:rPr>
    </w:lvl>
  </w:abstractNum>
  <w:abstractNum w:abstractNumId="57630">
    <w:lvl>
      <w:start w:val="1"/>
      <w:numFmt w:val="decimal"/>
      <w:suff w:val="tab"/>
      <w:lvlText w:val="%1."/>
      <w:rPr>
        <w:color w:val="3370ff"/>
      </w:rPr>
    </w:lvl>
  </w:abstractNum>
  <w:abstractNum w:abstractNumId="57631">
    <w:lvl>
      <w:start w:val="2"/>
      <w:numFmt w:val="decimal"/>
      <w:suff w:val="tab"/>
      <w:lvlText w:val="%1."/>
      <w:rPr>
        <w:color w:val="3370ff"/>
      </w:rPr>
    </w:lvl>
  </w:abstractNum>
  <w:abstractNum w:abstractNumId="57632">
    <w:lvl>
      <w:numFmt w:val="bullet"/>
      <w:suff w:val="tab"/>
      <w:lvlText w:val="￮"/>
      <w:rPr>
        <w:color w:val="3370ff"/>
      </w:rPr>
    </w:lvl>
  </w:abstractNum>
  <w:abstractNum w:abstractNumId="57633">
    <w:lvl>
      <w:numFmt w:val="bullet"/>
      <w:suff w:val="tab"/>
      <w:lvlText w:val="￮"/>
      <w:rPr>
        <w:color w:val="3370ff"/>
      </w:rPr>
    </w:lvl>
  </w:abstractNum>
  <w:abstractNum w:abstractNumId="57634">
    <w:lvl>
      <w:numFmt w:val="bullet"/>
      <w:suff w:val="tab"/>
      <w:lvlText w:val="￮"/>
      <w:rPr>
        <w:color w:val="3370ff"/>
      </w:rPr>
    </w:lvl>
  </w:abstractNum>
  <w:abstractNum w:abstractNumId="57635">
    <w:lvl>
      <w:numFmt w:val="bullet"/>
      <w:suff w:val="tab"/>
      <w:lvlText w:val="￮"/>
      <w:rPr>
        <w:color w:val="3370ff"/>
      </w:rPr>
    </w:lvl>
  </w:abstractNum>
  <w:abstractNum w:abstractNumId="57636">
    <w:lvl>
      <w:start w:val="3"/>
      <w:numFmt w:val="decimal"/>
      <w:suff w:val="tab"/>
      <w:lvlText w:val="%1."/>
      <w:rPr>
        <w:color w:val="3370ff"/>
      </w:rPr>
    </w:lvl>
  </w:abstractNum>
  <w:abstractNum w:abstractNumId="57637">
    <w:lvl>
      <w:numFmt w:val="bullet"/>
      <w:suff w:val="tab"/>
      <w:lvlText w:val="￮"/>
      <w:rPr>
        <w:color w:val="3370ff"/>
      </w:rPr>
    </w:lvl>
  </w:abstractNum>
  <w:abstractNum w:abstractNumId="57638">
    <w:lvl>
      <w:numFmt w:val="bullet"/>
      <w:suff w:val="tab"/>
      <w:lvlText w:val="￮"/>
      <w:rPr>
        <w:color w:val="3370ff"/>
      </w:rPr>
    </w:lvl>
  </w:abstractNum>
  <w:abstractNum w:abstractNumId="57639">
    <w:lvl>
      <w:numFmt w:val="bullet"/>
      <w:suff w:val="tab"/>
      <w:lvlText w:val="￮"/>
      <w:rPr>
        <w:color w:val="3370ff"/>
      </w:rPr>
    </w:lvl>
  </w:abstractNum>
  <w:num w:numId="1">
    <w:abstractNumId w:val="57556"/>
  </w:num>
  <w:num w:numId="2">
    <w:abstractNumId w:val="57557"/>
  </w:num>
  <w:num w:numId="3">
    <w:abstractNumId w:val="57558"/>
  </w:num>
  <w:num w:numId="4">
    <w:abstractNumId w:val="57559"/>
  </w:num>
  <w:num w:numId="5">
    <w:abstractNumId w:val="57560"/>
  </w:num>
  <w:num w:numId="6">
    <w:abstractNumId w:val="57561"/>
  </w:num>
  <w:num w:numId="7">
    <w:abstractNumId w:val="57562"/>
  </w:num>
  <w:num w:numId="8">
    <w:abstractNumId w:val="57563"/>
  </w:num>
  <w:num w:numId="9">
    <w:abstractNumId w:val="57564"/>
  </w:num>
  <w:num w:numId="10">
    <w:abstractNumId w:val="57565"/>
  </w:num>
  <w:num w:numId="11">
    <w:abstractNumId w:val="57566"/>
  </w:num>
  <w:num w:numId="12">
    <w:abstractNumId w:val="57567"/>
  </w:num>
  <w:num w:numId="13">
    <w:abstractNumId w:val="57568"/>
  </w:num>
  <w:num w:numId="14">
    <w:abstractNumId w:val="57569"/>
  </w:num>
  <w:num w:numId="15">
    <w:abstractNumId w:val="57570"/>
  </w:num>
  <w:num w:numId="16">
    <w:abstractNumId w:val="57571"/>
  </w:num>
  <w:num w:numId="17">
    <w:abstractNumId w:val="57572"/>
  </w:num>
  <w:num w:numId="18">
    <w:abstractNumId w:val="57573"/>
  </w:num>
  <w:num w:numId="19">
    <w:abstractNumId w:val="57574"/>
  </w:num>
  <w:num w:numId="20">
    <w:abstractNumId w:val="57575"/>
  </w:num>
  <w:num w:numId="21">
    <w:abstractNumId w:val="57576"/>
  </w:num>
  <w:num w:numId="22">
    <w:abstractNumId w:val="57577"/>
  </w:num>
  <w:num w:numId="23">
    <w:abstractNumId w:val="57578"/>
  </w:num>
  <w:num w:numId="24">
    <w:abstractNumId w:val="57579"/>
  </w:num>
  <w:num w:numId="25">
    <w:abstractNumId w:val="57580"/>
  </w:num>
  <w:num w:numId="26">
    <w:abstractNumId w:val="57581"/>
  </w:num>
  <w:num w:numId="27">
    <w:abstractNumId w:val="57582"/>
  </w:num>
  <w:num w:numId="28">
    <w:abstractNumId w:val="57583"/>
  </w:num>
  <w:num w:numId="29">
    <w:abstractNumId w:val="57584"/>
  </w:num>
  <w:num w:numId="30">
    <w:abstractNumId w:val="57585"/>
  </w:num>
  <w:num w:numId="31">
    <w:abstractNumId w:val="57586"/>
  </w:num>
  <w:num w:numId="32">
    <w:abstractNumId w:val="57587"/>
  </w:num>
  <w:num w:numId="33">
    <w:abstractNumId w:val="57588"/>
  </w:num>
  <w:num w:numId="34">
    <w:abstractNumId w:val="57589"/>
  </w:num>
  <w:num w:numId="35">
    <w:abstractNumId w:val="57590"/>
  </w:num>
  <w:num w:numId="36">
    <w:abstractNumId w:val="57591"/>
  </w:num>
  <w:num w:numId="37">
    <w:abstractNumId w:val="57592"/>
  </w:num>
  <w:num w:numId="38">
    <w:abstractNumId w:val="57593"/>
  </w:num>
  <w:num w:numId="39">
    <w:abstractNumId w:val="57594"/>
  </w:num>
  <w:num w:numId="40">
    <w:abstractNumId w:val="57595"/>
  </w:num>
  <w:num w:numId="41">
    <w:abstractNumId w:val="57596"/>
  </w:num>
  <w:num w:numId="42">
    <w:abstractNumId w:val="57597"/>
  </w:num>
  <w:num w:numId="43">
    <w:abstractNumId w:val="57598"/>
  </w:num>
  <w:num w:numId="44">
    <w:abstractNumId w:val="57599"/>
  </w:num>
  <w:num w:numId="45">
    <w:abstractNumId w:val="57600"/>
  </w:num>
  <w:num w:numId="46">
    <w:abstractNumId w:val="57601"/>
  </w:num>
  <w:num w:numId="47">
    <w:abstractNumId w:val="57602"/>
  </w:num>
  <w:num w:numId="48">
    <w:abstractNumId w:val="57603"/>
  </w:num>
  <w:num w:numId="49">
    <w:abstractNumId w:val="57604"/>
  </w:num>
  <w:num w:numId="50">
    <w:abstractNumId w:val="57605"/>
  </w:num>
  <w:num w:numId="51">
    <w:abstractNumId w:val="57606"/>
  </w:num>
  <w:num w:numId="52">
    <w:abstractNumId w:val="57607"/>
  </w:num>
  <w:num w:numId="53">
    <w:abstractNumId w:val="57608"/>
  </w:num>
  <w:num w:numId="54">
    <w:abstractNumId w:val="57609"/>
  </w:num>
  <w:num w:numId="55">
    <w:abstractNumId w:val="57610"/>
  </w:num>
  <w:num w:numId="56">
    <w:abstractNumId w:val="57611"/>
  </w:num>
  <w:num w:numId="57">
    <w:abstractNumId w:val="57612"/>
  </w:num>
  <w:num w:numId="58">
    <w:abstractNumId w:val="57613"/>
  </w:num>
  <w:num w:numId="59">
    <w:abstractNumId w:val="57614"/>
  </w:num>
  <w:num w:numId="60">
    <w:abstractNumId w:val="57615"/>
  </w:num>
  <w:num w:numId="61">
    <w:abstractNumId w:val="57616"/>
  </w:num>
  <w:num w:numId="62">
    <w:abstractNumId w:val="57617"/>
  </w:num>
  <w:num w:numId="63">
    <w:abstractNumId w:val="57618"/>
  </w:num>
  <w:num w:numId="64">
    <w:abstractNumId w:val="57619"/>
  </w:num>
  <w:num w:numId="65">
    <w:abstractNumId w:val="57620"/>
  </w:num>
  <w:num w:numId="66">
    <w:abstractNumId w:val="57621"/>
  </w:num>
  <w:num w:numId="67">
    <w:abstractNumId w:val="57622"/>
  </w:num>
  <w:num w:numId="68">
    <w:abstractNumId w:val="57623"/>
  </w:num>
  <w:num w:numId="69">
    <w:abstractNumId w:val="57624"/>
  </w:num>
  <w:num w:numId="70">
    <w:abstractNumId w:val="57625"/>
  </w:num>
  <w:num w:numId="71">
    <w:abstractNumId w:val="57626"/>
  </w:num>
  <w:num w:numId="72">
    <w:abstractNumId w:val="57627"/>
  </w:num>
  <w:num w:numId="73">
    <w:abstractNumId w:val="57628"/>
  </w:num>
  <w:num w:numId="74">
    <w:abstractNumId w:val="57629"/>
  </w:num>
  <w:num w:numId="75">
    <w:abstractNumId w:val="57630"/>
  </w:num>
  <w:num w:numId="76">
    <w:abstractNumId w:val="57631"/>
  </w:num>
  <w:num w:numId="77">
    <w:abstractNumId w:val="57632"/>
  </w:num>
  <w:num w:numId="78">
    <w:abstractNumId w:val="57633"/>
  </w:num>
  <w:num w:numId="79">
    <w:abstractNumId w:val="57634"/>
  </w:num>
  <w:num w:numId="80">
    <w:abstractNumId w:val="57635"/>
  </w:num>
  <w:num w:numId="81">
    <w:abstractNumId w:val="57636"/>
  </w:num>
  <w:num w:numId="82">
    <w:abstractNumId w:val="57637"/>
  </w:num>
  <w:num w:numId="83">
    <w:abstractNumId w:val="57638"/>
  </w:num>
  <w:num w:numId="84">
    <w:abstractNumId w:val="5763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2026-05-30T03:13:12Z</dcterms:created>
  <dc:creator>Apache POI</dc:creator>
</cp:coreProperties>
</file>