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“DPIA草案生成”功能说明与路径描述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用户输入：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系统输出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[2.2 ICO_DPIA_Temple.docx]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输入输出依据：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输入依据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为DPIA模板中所需信息，已在输入部分标注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输出依据：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以下是系统生成DPIA草案所依据的</w:t>
      </w:r>
      <w:r>
        <w:rPr>
          <w:rFonts w:eastAsia="等线" w:ascii="Arial" w:cs="Arial" w:hAnsi="Arial"/>
          <w:b w:val="true"/>
          <w:sz w:val="22"/>
        </w:rPr>
        <w:t>全部现行有效</w:t>
      </w:r>
      <w:r>
        <w:rPr>
          <w:rFonts w:eastAsia="等线" w:ascii="Arial" w:cs="Arial" w:hAnsi="Arial"/>
          <w:sz w:val="22"/>
        </w:rPr>
        <w:t>的法律法规、指南和参考模板清单：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“DPIA草案生成”功能输出依据清单 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依据文件与系统输出逻辑的映射 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系统根据上述依据，将您的输入项转化为结构化的DPIA草案：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“1. 识别需求”模块</w:t>
      </w:r>
      <w:r>
        <w:rPr>
          <w:rFonts w:eastAsia="等线" w:ascii="Arial" w:cs="Arial" w:hAnsi="Arial"/>
          <w:sz w:val="22"/>
        </w:rPr>
        <w:t xml:space="preserve">：依据 </w:t>
      </w:r>
      <w:r>
        <w:rPr>
          <w:rFonts w:eastAsia="等线" w:ascii="Arial" w:cs="Arial" w:hAnsi="Arial"/>
          <w:b w:val="true"/>
          <w:sz w:val="22"/>
        </w:rPr>
        <w:t>EDPB指南WP248 rev.01的九项标准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各成员国DPA的清单</w:t>
      </w:r>
      <w:r>
        <w:rPr>
          <w:rFonts w:eastAsia="等线" w:ascii="Arial" w:cs="Arial" w:hAnsi="Arial"/>
          <w:sz w:val="22"/>
        </w:rPr>
        <w:t>，引导用户判断并陈述为何其项目“可能导致高风险”，从而触发GDPR第35条下的DPIA义务。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“2. 描述处理活动”模块</w:t>
      </w:r>
      <w:r>
        <w:rPr>
          <w:rFonts w:eastAsia="等线" w:ascii="Arial" w:cs="Arial" w:hAnsi="Arial"/>
          <w:sz w:val="22"/>
        </w:rPr>
        <w:t xml:space="preserve">：直接对应 </w:t>
      </w:r>
      <w:r>
        <w:rPr>
          <w:rFonts w:eastAsia="等线" w:ascii="Arial" w:cs="Arial" w:hAnsi="Arial"/>
          <w:b w:val="true"/>
          <w:sz w:val="22"/>
        </w:rPr>
        <w:t>GDPR第35(7)(a)条</w:t>
      </w:r>
      <w:r>
        <w:rPr>
          <w:rFonts w:eastAsia="等线" w:ascii="Arial" w:cs="Arial" w:hAnsi="Arial"/>
          <w:sz w:val="22"/>
        </w:rPr>
        <w:t xml:space="preserve"> 的要求，即“对计划处理操作及其目的的系统性描述”。输入项（数据流、数据类型、数据量、保留期、跨境传输）共同构成了这一描述。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“3. 咨询过程”模块</w:t>
      </w:r>
      <w:r>
        <w:rPr>
          <w:rFonts w:eastAsia="等线" w:ascii="Arial" w:cs="Arial" w:hAnsi="Arial"/>
          <w:sz w:val="22"/>
        </w:rPr>
        <w:t xml:space="preserve">：依据 </w:t>
      </w:r>
      <w:r>
        <w:rPr>
          <w:rFonts w:eastAsia="等线" w:ascii="Arial" w:cs="Arial" w:hAnsi="Arial"/>
          <w:b w:val="true"/>
          <w:sz w:val="22"/>
        </w:rPr>
        <w:t>GDPR第35(2)条</w:t>
      </w:r>
      <w:r>
        <w:rPr>
          <w:rFonts w:eastAsia="等线" w:ascii="Arial" w:cs="Arial" w:hAnsi="Arial"/>
          <w:sz w:val="22"/>
        </w:rPr>
        <w:t>，该条规定控制者在进行DPIA时必须征求数据保护官（DPO）的意见。同时，</w:t>
      </w:r>
      <w:r>
        <w:rPr>
          <w:rFonts w:eastAsia="等线" w:ascii="Arial" w:cs="Arial" w:hAnsi="Arial"/>
          <w:b w:val="true"/>
          <w:sz w:val="22"/>
        </w:rPr>
        <w:t>第35(9)条</w:t>
      </w:r>
      <w:r>
        <w:rPr>
          <w:rFonts w:eastAsia="等线" w:ascii="Arial" w:cs="Arial" w:hAnsi="Arial"/>
          <w:sz w:val="22"/>
        </w:rPr>
        <w:t xml:space="preserve"> 鼓励在适当情况下征求数据主体或其代表的意见。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“4. 必要性与相称性”模块</w:t>
      </w:r>
      <w:r>
        <w:rPr>
          <w:rFonts w:eastAsia="等线" w:ascii="Arial" w:cs="Arial" w:hAnsi="Arial"/>
          <w:sz w:val="22"/>
        </w:rPr>
        <w:t xml:space="preserve">：对应 </w:t>
      </w:r>
      <w:r>
        <w:rPr>
          <w:rFonts w:eastAsia="等线" w:ascii="Arial" w:cs="Arial" w:hAnsi="Arial"/>
          <w:b w:val="true"/>
          <w:sz w:val="22"/>
        </w:rPr>
        <w:t>GDPR第35(7)(b)条</w:t>
      </w:r>
      <w:r>
        <w:rPr>
          <w:rFonts w:eastAsia="等线" w:ascii="Arial" w:cs="Arial" w:hAnsi="Arial"/>
          <w:sz w:val="22"/>
        </w:rPr>
        <w:t xml:space="preserve"> 的要求。系统引导用户评估处理活动是否为实现合法目的所必需，是否遵循了数据最小化原则，这正是“相称性评估”的核心。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“5. 识别与评估风险”与“6. 降低风险的措施”模块</w:t>
      </w:r>
      <w:r>
        <w:rPr>
          <w:rFonts w:eastAsia="等线" w:ascii="Arial" w:cs="Arial" w:hAnsi="Arial"/>
          <w:sz w:val="22"/>
        </w:rPr>
        <w:t xml:space="preserve">：共同满足 </w:t>
      </w:r>
      <w:r>
        <w:rPr>
          <w:rFonts w:eastAsia="等线" w:ascii="Arial" w:cs="Arial" w:hAnsi="Arial"/>
          <w:b w:val="true"/>
          <w:sz w:val="22"/>
        </w:rPr>
        <w:t>GDPR第35(7)(c)和(d)条</w:t>
      </w:r>
      <w:r>
        <w:rPr>
          <w:rFonts w:eastAsia="等线" w:ascii="Arial" w:cs="Arial" w:hAnsi="Arial"/>
          <w:sz w:val="22"/>
        </w:rPr>
        <w:t xml:space="preserve"> 的要求。系统引导用户先识别风险（风险列表、可能性、影响），然后针对性地提出缓解措施。这体现了“基于风险的方法”（risk-based approach），是DPIA的核心。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“7. 签署与记录”模块</w:t>
      </w:r>
      <w:r>
        <w:rPr>
          <w:rFonts w:eastAsia="等线" w:ascii="Arial" w:cs="Arial" w:hAnsi="Arial"/>
          <w:sz w:val="22"/>
        </w:rPr>
        <w:t>：体现了GDPR的</w:t>
      </w:r>
      <w:r>
        <w:rPr>
          <w:rFonts w:eastAsia="等线" w:ascii="Arial" w:cs="Arial" w:hAnsi="Arial"/>
          <w:b w:val="true"/>
          <w:sz w:val="22"/>
        </w:rPr>
        <w:t>问责制原则</w:t>
      </w:r>
      <w:r>
        <w:rPr>
          <w:rFonts w:eastAsia="等线" w:ascii="Arial" w:cs="Arial" w:hAnsi="Arial"/>
          <w:sz w:val="22"/>
        </w:rPr>
        <w:t>（Accountability）。记录DPIA负责人和DPO意见，是证明组织已履行DPIA义务、进行审慎决策的关键证据。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6046">
    <w:lvl>
      <w:start w:val="1"/>
      <w:numFmt w:val="decimal"/>
      <w:suff w:val="tab"/>
      <w:lvlText w:val="%1."/>
      <w:rPr>
        <w:color w:val="3370ff"/>
      </w:rPr>
    </w:lvl>
  </w:abstractNum>
  <w:abstractNum w:abstractNumId="1056047">
    <w:lvl>
      <w:start w:val="2"/>
      <w:numFmt w:val="decimal"/>
      <w:suff w:val="tab"/>
      <w:lvlText w:val="%1."/>
      <w:rPr>
        <w:color w:val="3370ff"/>
      </w:rPr>
    </w:lvl>
  </w:abstractNum>
  <w:abstractNum w:abstractNumId="1056048">
    <w:lvl>
      <w:start w:val="3"/>
      <w:numFmt w:val="decimal"/>
      <w:suff w:val="tab"/>
      <w:lvlText w:val="%1."/>
      <w:rPr>
        <w:color w:val="3370ff"/>
      </w:rPr>
    </w:lvl>
  </w:abstractNum>
  <w:abstractNum w:abstractNumId="1056049">
    <w:lvl>
      <w:start w:val="4"/>
      <w:numFmt w:val="decimal"/>
      <w:suff w:val="tab"/>
      <w:lvlText w:val="%1."/>
      <w:rPr>
        <w:color w:val="3370ff"/>
      </w:rPr>
    </w:lvl>
  </w:abstractNum>
  <w:abstractNum w:abstractNumId="1056050">
    <w:lvl>
      <w:start w:val="5"/>
      <w:numFmt w:val="decimal"/>
      <w:suff w:val="tab"/>
      <w:lvlText w:val="%1."/>
      <w:rPr>
        <w:color w:val="3370ff"/>
      </w:rPr>
    </w:lvl>
  </w:abstractNum>
  <w:abstractNum w:abstractNumId="1056051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056046"/>
  </w:num>
  <w:num w:numId="2">
    <w:abstractNumId w:val="1056047"/>
  </w:num>
  <w:num w:numId="3">
    <w:abstractNumId w:val="1056048"/>
  </w:num>
  <w:num w:numId="4">
    <w:abstractNumId w:val="1056049"/>
  </w:num>
  <w:num w:numId="5">
    <w:abstractNumId w:val="1056050"/>
  </w:num>
  <w:num w:numId="6">
    <w:abstractNumId w:val="10560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2026-05-30T05:39:10Z</dcterms:created>
  <dc:creator>Apache POI</dc:creator>
</cp:coreProperties>
</file>