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“TIA草案生成”测试案例及预期输出</w:t>
      </w:r>
    </w:p>
    <w:p>
      <w:pPr>
        <w:pStyle w:val="3"/>
        <w:spacing w:before="300" w:after="120" w:line="288" w:lineRule="auto"/>
        <w:ind w:left="0"/>
        <w:jc w:val="left"/>
        <w:outlineLvl w:val="2"/>
      </w:pPr>
      <w:bookmarkStart w:name="heading_0" w:id="0"/>
      <w:r>
        <w:rPr>
          <w:rFonts w:eastAsia="等线" w:ascii="Arial" w:cs="Arial" w:hAnsi="Arial"/>
          <w:b w:val="true"/>
          <w:sz w:val="30"/>
        </w:rPr>
        <w:t xml:space="preserve">测试案例一：欧盟公司使用美国SaaS服务（高风险目的地） </w:t>
      </w:r>
      <w:bookmarkEnd w:id="0"/>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：德国柏林的“创新软件有限公司”（Innovate Software GmbH）计划将其全部客户关系管理（CRM）系统迁移至美国公司“云力科技”（CloudForce Inc.）提供的SaaS平台。传输的数据包含欧盟客户的联系信息和交易记录。</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预期输出概览</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TIA草案核心内容</w:t>
      </w:r>
      <w:r>
        <w:rPr>
          <w:rFonts w:eastAsia="等线" w:ascii="Arial" w:cs="Arial" w:hAnsi="Arial"/>
          <w:sz w:val="22"/>
        </w:rPr>
        <w:t>：</w:t>
      </w:r>
    </w:p>
    <w:p>
      <w:pPr>
        <w:numPr>
          <w:numId w:val="2"/>
        </w:numPr>
        <w:spacing w:before="120" w:after="120" w:line="288" w:lineRule="auto"/>
        <w:ind w:left="453"/>
        <w:jc w:val="left"/>
      </w:pPr>
      <w:r>
        <w:rPr>
          <w:rFonts w:eastAsia="等线" w:ascii="Arial" w:cs="Arial" w:hAnsi="Arial"/>
          <w:b w:val="true"/>
          <w:sz w:val="22"/>
        </w:rPr>
        <w:t>传输概述</w:t>
      </w:r>
      <w:r>
        <w:rPr>
          <w:rFonts w:eastAsia="等线" w:ascii="Arial" w:cs="Arial" w:hAnsi="Arial"/>
          <w:sz w:val="22"/>
        </w:rPr>
        <w:t>：清晰描述从德国向美国传输客户CRM数据，使用SCCs作为工具。</w:t>
      </w:r>
    </w:p>
    <w:p>
      <w:pPr>
        <w:numPr>
          <w:numId w:val="3"/>
        </w:numPr>
        <w:spacing w:before="120" w:after="120" w:line="288" w:lineRule="auto"/>
        <w:ind w:left="453"/>
        <w:jc w:val="left"/>
      </w:pPr>
      <w:r>
        <w:rPr>
          <w:rFonts w:eastAsia="等线" w:ascii="Arial" w:cs="Arial" w:hAnsi="Arial"/>
          <w:b w:val="true"/>
          <w:sz w:val="22"/>
        </w:rPr>
        <w:t>法律评估结论</w:t>
      </w:r>
      <w:r>
        <w:rPr>
          <w:rFonts w:eastAsia="等线" w:ascii="Arial" w:cs="Arial" w:hAnsi="Arial"/>
          <w:sz w:val="22"/>
        </w:rPr>
        <w:t>：明确指出美国FISA 702和CLOUD Act法律可能妨碍SCCs有效性，初步结论为“可能无效”。</w:t>
      </w:r>
    </w:p>
    <w:p>
      <w:pPr>
        <w:numPr>
          <w:numId w:val="4"/>
        </w:numPr>
        <w:spacing w:before="120" w:after="120" w:line="288" w:lineRule="auto"/>
        <w:ind w:left="453"/>
        <w:jc w:val="left"/>
      </w:pPr>
      <w:r>
        <w:rPr>
          <w:rFonts w:eastAsia="等线" w:ascii="Arial" w:cs="Arial" w:hAnsi="Arial"/>
          <w:b w:val="true"/>
          <w:sz w:val="22"/>
        </w:rPr>
        <w:t>补充措施</w:t>
      </w:r>
      <w:r>
        <w:rPr>
          <w:rFonts w:eastAsia="等线" w:ascii="Arial" w:cs="Arial" w:hAnsi="Arial"/>
          <w:sz w:val="22"/>
        </w:rPr>
        <w:t>：重点突出“传输前加密与本地密钥管理”为核心技术措施，并辅以合同承诺。</w:t>
      </w:r>
    </w:p>
    <w:p>
      <w:pPr>
        <w:numPr>
          <w:numId w:val="5"/>
        </w:numPr>
        <w:spacing w:before="120" w:after="120" w:line="288" w:lineRule="auto"/>
        <w:ind w:left="453"/>
        <w:jc w:val="left"/>
      </w:pPr>
      <w:r>
        <w:rPr>
          <w:rFonts w:eastAsia="等线" w:ascii="Arial" w:cs="Arial" w:hAnsi="Arial"/>
          <w:b w:val="true"/>
          <w:sz w:val="22"/>
        </w:rPr>
        <w:t>最终决定</w:t>
      </w:r>
      <w:r>
        <w:rPr>
          <w:rFonts w:eastAsia="等线" w:ascii="Arial" w:cs="Arial" w:hAnsi="Arial"/>
          <w:sz w:val="22"/>
        </w:rPr>
        <w:t>：基于补充措施，判断传输可进行。</w:t>
      </w:r>
    </w:p>
    <w:p>
      <w:pPr>
        <w:numPr>
          <w:numId w:val="6"/>
        </w:numPr>
        <w:spacing w:before="120" w:after="120" w:line="288" w:lineRule="auto"/>
        <w:ind w:left="453"/>
        <w:jc w:val="left"/>
      </w:pPr>
      <w:r>
        <w:rPr>
          <w:rFonts w:eastAsia="等线" w:ascii="Arial" w:cs="Arial" w:hAnsi="Arial"/>
          <w:b w:val="true"/>
          <w:sz w:val="22"/>
        </w:rPr>
        <w:t>DPO意见与行动项</w:t>
      </w:r>
      <w:r>
        <w:rPr>
          <w:rFonts w:eastAsia="等线" w:ascii="Arial" w:cs="Arial" w:hAnsi="Arial"/>
          <w:sz w:val="22"/>
        </w:rPr>
        <w:t>：记录DPO的有条件同意及具体前提（安全审计、合同签署）。</w:t>
      </w:r>
    </w:p>
    <w:p>
      <w:pPr>
        <w:numPr>
          <w:numId w:val="7"/>
        </w:numPr>
        <w:spacing w:before="120" w:after="120" w:line="288" w:lineRule="auto"/>
        <w:ind w:left="453"/>
        <w:jc w:val="left"/>
      </w:pPr>
      <w:r>
        <w:rPr>
          <w:rFonts w:eastAsia="等线" w:ascii="Arial" w:cs="Arial" w:hAnsi="Arial"/>
          <w:b w:val="true"/>
          <w:sz w:val="22"/>
        </w:rPr>
        <w:t>复审计划</w:t>
      </w:r>
      <w:r>
        <w:rPr>
          <w:rFonts w:eastAsia="等线" w:ascii="Arial" w:cs="Arial" w:hAnsi="Arial"/>
          <w:sz w:val="22"/>
        </w:rPr>
        <w:t>：设定6个月后复审。</w:t>
      </w:r>
    </w:p>
    <w:p>
      <w:pPr>
        <w:numPr>
          <w:numId w:val="8"/>
        </w:numPr>
        <w:spacing w:before="120" w:after="120" w:line="288" w:lineRule="auto"/>
        <w:ind w:left="0"/>
        <w:jc w:val="left"/>
      </w:pPr>
      <w:r>
        <w:rPr>
          <w:rFonts w:eastAsia="等线" w:ascii="Arial" w:cs="Arial" w:hAnsi="Arial"/>
          <w:b w:val="true"/>
          <w:sz w:val="22"/>
        </w:rPr>
        <w:t>生成逻辑与风险提示</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b w:val="true"/>
          <w:sz w:val="22"/>
        </w:rPr>
        <w:t>逻辑</w:t>
      </w:r>
      <w:r>
        <w:rPr>
          <w:rFonts w:eastAsia="等线" w:ascii="Arial" w:cs="Arial" w:hAnsi="Arial"/>
          <w:sz w:val="22"/>
        </w:rPr>
        <w:t>：遵循EDPB六步法。识别到高风险目的地（美国）和敏感工具（SCCs）→ 评估确认法律风险 → 匹配并依赖强技术措施（加密）作为风险缓解核心 → 得出可传输结论。</w:t>
      </w:r>
    </w:p>
    <w:p>
      <w:pPr>
        <w:numPr>
          <w:numId w:val="10"/>
        </w:numPr>
        <w:spacing w:before="120" w:after="120" w:line="288" w:lineRule="auto"/>
        <w:ind w:left="453"/>
        <w:jc w:val="left"/>
      </w:pPr>
      <w:r>
        <w:rPr>
          <w:rFonts w:eastAsia="等线" w:ascii="Arial" w:cs="Arial" w:hAnsi="Arial"/>
          <w:b w:val="true"/>
          <w:sz w:val="22"/>
        </w:rPr>
        <w:t>高风险提示</w:t>
      </w:r>
      <w:r>
        <w:rPr>
          <w:rFonts w:eastAsia="等线" w:ascii="Arial" w:cs="Arial" w:hAnsi="Arial"/>
          <w:sz w:val="22"/>
        </w:rPr>
        <w:t>：</w:t>
      </w:r>
    </w:p>
    <w:p>
      <w:pPr>
        <w:numPr>
          <w:numId w:val="11"/>
        </w:numPr>
        <w:spacing w:before="120" w:after="120" w:line="288" w:lineRule="auto"/>
        <w:ind w:left="907"/>
        <w:jc w:val="left"/>
      </w:pPr>
      <w:r>
        <w:rPr>
          <w:rFonts w:eastAsia="等线" w:ascii="Arial" w:cs="Arial" w:hAnsi="Arial"/>
          <w:b w:val="true"/>
          <w:sz w:val="22"/>
        </w:rPr>
        <w:t>目的地国法律风险</w:t>
      </w:r>
      <w:r>
        <w:rPr>
          <w:rFonts w:eastAsia="等线" w:ascii="Arial" w:cs="Arial" w:hAnsi="Arial"/>
          <w:sz w:val="22"/>
        </w:rPr>
        <w:t>：美国法律允许大规模监控和强制数据披露，是已知高风险司法辖区。</w:t>
      </w:r>
    </w:p>
    <w:p>
      <w:pPr>
        <w:numPr>
          <w:numId w:val="12"/>
        </w:numPr>
        <w:spacing w:before="120" w:after="120" w:line="288" w:lineRule="auto"/>
        <w:ind w:left="907"/>
        <w:jc w:val="left"/>
      </w:pPr>
      <w:r>
        <w:rPr>
          <w:rFonts w:eastAsia="等线" w:ascii="Arial" w:cs="Arial" w:hAnsi="Arial"/>
          <w:b w:val="true"/>
          <w:sz w:val="22"/>
        </w:rPr>
        <w:t>补充措施的有效性依赖</w:t>
      </w:r>
      <w:r>
        <w:rPr>
          <w:rFonts w:eastAsia="等线" w:ascii="Arial" w:cs="Arial" w:hAnsi="Arial"/>
          <w:sz w:val="22"/>
        </w:rPr>
        <w:t>：整个传输的合法性高度依赖于加密措施的有效性和密钥管理的安全性。一旦加密被破解或密钥泄露，风险将急剧升高。</w:t>
      </w:r>
    </w:p>
    <w:p>
      <w:pPr>
        <w:numPr>
          <w:numId w:val="13"/>
        </w:numPr>
        <w:spacing w:before="120" w:after="120" w:line="288" w:lineRule="auto"/>
        <w:ind w:left="907"/>
        <w:jc w:val="left"/>
      </w:pPr>
      <w:r>
        <w:rPr>
          <w:rFonts w:eastAsia="等线" w:ascii="Arial" w:cs="Arial" w:hAnsi="Arial"/>
          <w:b w:val="true"/>
          <w:sz w:val="22"/>
        </w:rPr>
        <w:t>建议</w:t>
      </w:r>
      <w:r>
        <w:rPr>
          <w:rFonts w:eastAsia="等线" w:ascii="Arial" w:cs="Arial" w:hAnsi="Arial"/>
          <w:sz w:val="22"/>
        </w:rPr>
        <w:t>：强烈建议对加密实施方案进行独立的、由具备资质的第三方进行的安全审计，并将审计报告作为TIA的支持文件。</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sz w:val="30"/>
        </w:rPr>
        <w:t xml:space="preserve">测试案例二：集团内部从法国向英国传输HR数据（充分性决定下的复杂情况） </w:t>
      </w:r>
      <w:bookmarkEnd w:id="1"/>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：法国巴黎的“欧莱集团”（EurGroup SA）需将其法国员工的薪酬和绩效数据，传输给其在英国伦敦的集团共享服务中心（UK Shared Service Centre Ltd.），用于集中处理薪酬发放和人力资源分析。英国已获得欧盟充分性认定。</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spacing w:before="120" w:after="120" w:line="288" w:lineRule="auto"/>
        <w:ind w:left="0"/>
      </w:pPr>
      <w:r>
        <w:object>
          <v:shape id="_x0000_i1026" style="width:414pt;height:197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预期输出概览</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TIA草案核心内容</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传输概述</w:t>
      </w:r>
      <w:r>
        <w:rPr>
          <w:rFonts w:eastAsia="等线" w:ascii="Arial" w:cs="Arial" w:hAnsi="Arial"/>
          <w:sz w:val="22"/>
        </w:rPr>
        <w:t>：描述从法国向英国传输员工薪酬数据。</w:t>
      </w:r>
    </w:p>
    <w:p>
      <w:pPr>
        <w:numPr>
          <w:numId w:val="16"/>
        </w:numPr>
        <w:spacing w:before="120" w:after="120" w:line="288" w:lineRule="auto"/>
        <w:ind w:left="453"/>
        <w:jc w:val="left"/>
      </w:pPr>
      <w:r>
        <w:rPr>
          <w:rFonts w:eastAsia="等线" w:ascii="Arial" w:cs="Arial" w:hAnsi="Arial"/>
          <w:b w:val="true"/>
          <w:sz w:val="22"/>
        </w:rPr>
        <w:t>工具与初步结论</w:t>
      </w:r>
      <w:r>
        <w:rPr>
          <w:rFonts w:eastAsia="等线" w:ascii="Arial" w:cs="Arial" w:hAnsi="Arial"/>
          <w:sz w:val="22"/>
        </w:rPr>
        <w:t>：明确指出基于对英国的充分性决定，</w:t>
      </w:r>
      <w:r>
        <w:rPr>
          <w:rFonts w:eastAsia="等线" w:ascii="Arial" w:cs="Arial" w:hAnsi="Arial"/>
          <w:b w:val="true"/>
          <w:sz w:val="22"/>
        </w:rPr>
        <w:t>原则上无需进行TIA</w:t>
      </w:r>
      <w:r>
        <w:rPr>
          <w:rFonts w:eastAsia="等线" w:ascii="Arial" w:cs="Arial" w:hAnsi="Arial"/>
          <w:sz w:val="22"/>
        </w:rPr>
        <w:t>，传输可直接进行。</w:t>
      </w:r>
    </w:p>
    <w:p>
      <w:pPr>
        <w:numPr>
          <w:numId w:val="17"/>
        </w:numPr>
        <w:spacing w:before="120" w:after="120" w:line="288" w:lineRule="auto"/>
        <w:ind w:left="453"/>
        <w:jc w:val="left"/>
      </w:pPr>
      <w:r>
        <w:rPr>
          <w:rFonts w:eastAsia="等线" w:ascii="Arial" w:cs="Arial" w:hAnsi="Arial"/>
          <w:b w:val="true"/>
          <w:sz w:val="22"/>
        </w:rPr>
        <w:t>DPO意见</w:t>
      </w:r>
      <w:r>
        <w:rPr>
          <w:rFonts w:eastAsia="等线" w:ascii="Arial" w:cs="Arial" w:hAnsi="Arial"/>
          <w:sz w:val="22"/>
        </w:rPr>
        <w:t>：记录DPO的附加建议，指出敏感数据的特殊性和对英国法律未来变化的监控需要。</w:t>
      </w:r>
    </w:p>
    <w:p>
      <w:pPr>
        <w:numPr>
          <w:numId w:val="18"/>
        </w:numPr>
        <w:spacing w:before="120" w:after="120" w:line="288" w:lineRule="auto"/>
        <w:ind w:left="453"/>
        <w:jc w:val="left"/>
      </w:pPr>
      <w:r>
        <w:rPr>
          <w:rFonts w:eastAsia="等线" w:ascii="Arial" w:cs="Arial" w:hAnsi="Arial"/>
          <w:b w:val="true"/>
          <w:sz w:val="22"/>
        </w:rPr>
        <w:t>复审计划</w:t>
      </w:r>
      <w:r>
        <w:rPr>
          <w:rFonts w:eastAsia="等线" w:ascii="Arial" w:cs="Arial" w:hAnsi="Arial"/>
          <w:sz w:val="22"/>
        </w:rPr>
        <w:t>：将复审日期与英国充分性决定的政治日程挂钩。</w:t>
      </w:r>
    </w:p>
    <w:p>
      <w:pPr>
        <w:numPr>
          <w:numId w:val="19"/>
        </w:numPr>
        <w:spacing w:before="120" w:after="120" w:line="288" w:lineRule="auto"/>
        <w:ind w:left="0"/>
        <w:jc w:val="left"/>
      </w:pPr>
      <w:r>
        <w:rPr>
          <w:rFonts w:eastAsia="等线" w:ascii="Arial" w:cs="Arial" w:hAnsi="Arial"/>
          <w:b w:val="true"/>
          <w:sz w:val="22"/>
        </w:rPr>
        <w:t>生成逻辑与风险提示</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b w:val="true"/>
          <w:sz w:val="22"/>
        </w:rPr>
        <w:t>逻辑</w:t>
      </w:r>
      <w:r>
        <w:rPr>
          <w:rFonts w:eastAsia="等线" w:ascii="Arial" w:cs="Arial" w:hAnsi="Arial"/>
          <w:sz w:val="22"/>
        </w:rPr>
        <w:t>：系统识别到目的地为具有充分性决定的国家（英国）→ 依据GDPR第45条，判定无需依赖SCCs等工具，也无需执行完整的Schrems II式TIA → 生成一个“简化版”或“基于充分性声明的告知性”评估报告。</w:t>
      </w:r>
    </w:p>
    <w:p>
      <w:pPr>
        <w:numPr>
          <w:numId w:val="21"/>
        </w:numPr>
        <w:spacing w:before="120" w:after="120" w:line="288" w:lineRule="auto"/>
        <w:ind w:left="453"/>
        <w:jc w:val="left"/>
      </w:pPr>
      <w:r>
        <w:rPr>
          <w:rFonts w:eastAsia="等线" w:ascii="Arial" w:cs="Arial" w:hAnsi="Arial"/>
          <w:b w:val="true"/>
          <w:sz w:val="22"/>
        </w:rPr>
        <w:t>重要提示/警告</w:t>
      </w:r>
      <w:r>
        <w:rPr>
          <w:rFonts w:eastAsia="等线" w:ascii="Arial" w:cs="Arial" w:hAnsi="Arial"/>
          <w:sz w:val="22"/>
        </w:rPr>
        <w:t>（在报告显著位置）：</w:t>
      </w:r>
    </w:p>
    <w:p>
      <w:pPr>
        <w:numPr>
          <w:numId w:val="22"/>
        </w:numPr>
        <w:spacing w:before="120" w:after="120" w:line="288" w:lineRule="auto"/>
        <w:ind w:left="907"/>
        <w:jc w:val="left"/>
      </w:pPr>
      <w:r>
        <w:rPr>
          <w:rFonts w:eastAsia="等线" w:ascii="Arial" w:cs="Arial" w:hAnsi="Arial"/>
          <w:b w:val="true"/>
          <w:sz w:val="22"/>
        </w:rPr>
        <w:t>充分性决定的适用性</w:t>
      </w:r>
      <w:r>
        <w:rPr>
          <w:rFonts w:eastAsia="等线" w:ascii="Arial" w:cs="Arial" w:hAnsi="Arial"/>
          <w:sz w:val="22"/>
        </w:rPr>
        <w:t>：提醒用户，充分性决定适用于英国整体法律框架。但用户仍需确保其传输活动符合英国本地数据保护法（UK GDPR）。</w:t>
      </w:r>
    </w:p>
    <w:p>
      <w:pPr>
        <w:numPr>
          <w:numId w:val="23"/>
        </w:numPr>
        <w:spacing w:before="120" w:after="120" w:line="288" w:lineRule="auto"/>
        <w:ind w:left="907"/>
        <w:jc w:val="left"/>
      </w:pPr>
      <w:r>
        <w:rPr>
          <w:rFonts w:eastAsia="等线" w:ascii="Arial" w:cs="Arial" w:hAnsi="Arial"/>
          <w:b w:val="true"/>
          <w:sz w:val="22"/>
        </w:rPr>
        <w:t>敏感数据处理警示</w:t>
      </w:r>
      <w:r>
        <w:rPr>
          <w:rFonts w:eastAsia="等线" w:ascii="Arial" w:cs="Arial" w:hAnsi="Arial"/>
          <w:sz w:val="22"/>
        </w:rPr>
        <w:t>：尽管不需要TIA，但系统应提示，处理薪酬等敏感数据本身要求控制者实施更严格的安全与组织措施。建议即使在没有TIA义务的情况下，也应进行内部的数据保护影响评估（DPIA）。</w:t>
      </w:r>
    </w:p>
    <w:p>
      <w:pPr>
        <w:numPr>
          <w:numId w:val="24"/>
        </w:numPr>
        <w:spacing w:before="120" w:after="120" w:line="288" w:lineRule="auto"/>
        <w:ind w:left="907"/>
        <w:jc w:val="left"/>
      </w:pPr>
      <w:r>
        <w:rPr>
          <w:rFonts w:eastAsia="等线" w:ascii="Arial" w:cs="Arial" w:hAnsi="Arial"/>
          <w:b w:val="true"/>
          <w:sz w:val="22"/>
        </w:rPr>
        <w:t>监控义务</w:t>
      </w:r>
      <w:r>
        <w:rPr>
          <w:rFonts w:eastAsia="等线" w:ascii="Arial" w:cs="Arial" w:hAnsi="Arial"/>
          <w:sz w:val="22"/>
        </w:rPr>
        <w:t>：提醒用户充分性决定可能被修改或撤销，建议关注欧盟委员会和EDPB的公告，并设置复审日期。</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 xml:space="preserve">测试案例三：从荷兰向印度传输临床试验数据（极高风险目的地） </w:t>
      </w:r>
      <w:bookmarkEnd w:id="2"/>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：荷兰的“莱顿生命科学研究所”（Leiden Life Sciences Institute）与印度的“新德里临床研究公司”（New Delhi Clinical Research Pvt. Ltd.）合作进行一项药物临床试验。需将荷兰受试者的匿名化（但可重新识别）健康数据、基因组序列片段传输至印度进行分析。</w:t>
      </w:r>
    </w:p>
    <w:p>
      <w:pPr>
        <w:spacing w:before="120" w:after="120" w:line="288" w:lineRule="auto"/>
        <w:ind w:left="0"/>
        <w:jc w:val="left"/>
      </w:pPr>
      <w:r>
        <w:rPr>
          <w:rFonts w:eastAsia="等线" w:ascii="Arial" w:cs="Arial" w:hAnsi="Arial"/>
          <w:b w:val="true"/>
          <w:sz w:val="22"/>
        </w:rPr>
        <w:t>用户输入详情</w:t>
      </w:r>
      <w:r>
        <w:rPr>
          <w:rFonts w:eastAsia="等线" w:ascii="Arial" w:cs="Arial" w:hAnsi="Arial"/>
          <w:sz w:val="22"/>
        </w:rPr>
        <w:t>：</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预期输出概览</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TIA草案核心内容</w:t>
      </w:r>
      <w:r>
        <w:rPr>
          <w:rFonts w:eastAsia="等线" w:ascii="Arial" w:cs="Arial" w:hAnsi="Arial"/>
          <w:sz w:val="22"/>
        </w:rPr>
        <w:t>：</w:t>
      </w:r>
    </w:p>
    <w:p>
      <w:pPr>
        <w:numPr>
          <w:numId w:val="26"/>
        </w:numPr>
        <w:spacing w:before="120" w:after="120" w:line="288" w:lineRule="auto"/>
        <w:ind w:left="453"/>
        <w:jc w:val="left"/>
      </w:pPr>
      <w:r>
        <w:rPr>
          <w:rFonts w:eastAsia="等线" w:ascii="Arial" w:cs="Arial" w:hAnsi="Arial"/>
          <w:b w:val="true"/>
          <w:sz w:val="22"/>
        </w:rPr>
        <w:t>传输概述</w:t>
      </w:r>
      <w:r>
        <w:rPr>
          <w:rFonts w:eastAsia="等线" w:ascii="Arial" w:cs="Arial" w:hAnsi="Arial"/>
          <w:sz w:val="22"/>
        </w:rPr>
        <w:t>：突出显示从荷兰向印度传输敏感健康与基因数据，使用SCCs。</w:t>
      </w:r>
    </w:p>
    <w:p>
      <w:pPr>
        <w:numPr>
          <w:numId w:val="27"/>
        </w:numPr>
        <w:spacing w:before="120" w:after="120" w:line="288" w:lineRule="auto"/>
        <w:ind w:left="453"/>
        <w:jc w:val="left"/>
      </w:pPr>
      <w:r>
        <w:rPr>
          <w:rFonts w:eastAsia="等线" w:ascii="Arial" w:cs="Arial" w:hAnsi="Arial"/>
          <w:b w:val="true"/>
          <w:sz w:val="22"/>
        </w:rPr>
        <w:t>法律评估结论</w:t>
      </w:r>
      <w:r>
        <w:rPr>
          <w:rFonts w:eastAsia="等线" w:ascii="Arial" w:cs="Arial" w:hAnsi="Arial"/>
          <w:sz w:val="22"/>
        </w:rPr>
        <w:t>：强烈警告印度法律（IT Act第69条）对数据保护的严重威胁，初步结论为“可能无效”。</w:t>
      </w:r>
    </w:p>
    <w:p>
      <w:pPr>
        <w:numPr>
          <w:numId w:val="28"/>
        </w:numPr>
        <w:spacing w:before="120" w:after="120" w:line="288" w:lineRule="auto"/>
        <w:ind w:left="453"/>
        <w:jc w:val="left"/>
      </w:pPr>
      <w:r>
        <w:rPr>
          <w:rFonts w:eastAsia="等线" w:ascii="Arial" w:cs="Arial" w:hAnsi="Arial"/>
          <w:b w:val="true"/>
          <w:sz w:val="22"/>
        </w:rPr>
        <w:t>补充措施</w:t>
      </w:r>
      <w:r>
        <w:rPr>
          <w:rFonts w:eastAsia="等线" w:ascii="Arial" w:cs="Arial" w:hAnsi="Arial"/>
          <w:sz w:val="22"/>
        </w:rPr>
        <w:t>：核心是“安全飞地”和“密钥分离”，描述为“极端技术保障措施”。</w:t>
      </w:r>
    </w:p>
    <w:p>
      <w:pPr>
        <w:numPr>
          <w:numId w:val="29"/>
        </w:numPr>
        <w:spacing w:before="120" w:after="120" w:line="288" w:lineRule="auto"/>
        <w:ind w:left="453"/>
        <w:jc w:val="left"/>
      </w:pPr>
      <w:r>
        <w:rPr>
          <w:rFonts w:eastAsia="等线" w:ascii="Arial" w:cs="Arial" w:hAnsi="Arial"/>
          <w:b w:val="true"/>
          <w:sz w:val="22"/>
        </w:rPr>
        <w:t>最终决定</w:t>
      </w:r>
      <w:r>
        <w:rPr>
          <w:rFonts w:eastAsia="等线" w:ascii="Arial" w:cs="Arial" w:hAnsi="Arial"/>
          <w:sz w:val="22"/>
        </w:rPr>
        <w:t>：做出“可进行”的结论，但附带大量且严格的前提条件。</w:t>
      </w:r>
    </w:p>
    <w:p>
      <w:pPr>
        <w:numPr>
          <w:numId w:val="30"/>
        </w:numPr>
        <w:spacing w:before="120" w:after="120" w:line="288" w:lineRule="auto"/>
        <w:ind w:left="453"/>
        <w:jc w:val="left"/>
      </w:pPr>
      <w:r>
        <w:rPr>
          <w:rFonts w:eastAsia="等线" w:ascii="Arial" w:cs="Arial" w:hAnsi="Arial"/>
          <w:b w:val="true"/>
          <w:sz w:val="22"/>
        </w:rPr>
        <w:t>DPO意见</w:t>
      </w:r>
      <w:r>
        <w:rPr>
          <w:rFonts w:eastAsia="等线" w:ascii="Arial" w:cs="Arial" w:hAnsi="Arial"/>
          <w:sz w:val="22"/>
        </w:rPr>
        <w:t>：记录DPO的“极高风险”警告及寻求监管机构事先批准的建议。</w:t>
      </w:r>
    </w:p>
    <w:p>
      <w:pPr>
        <w:numPr>
          <w:numId w:val="31"/>
        </w:numPr>
        <w:spacing w:before="120" w:after="120" w:line="288" w:lineRule="auto"/>
        <w:ind w:left="453"/>
        <w:jc w:val="left"/>
      </w:pPr>
      <w:r>
        <w:rPr>
          <w:rFonts w:eastAsia="等线" w:ascii="Arial" w:cs="Arial" w:hAnsi="Arial"/>
          <w:b w:val="true"/>
          <w:sz w:val="22"/>
        </w:rPr>
        <w:t>复审计划</w:t>
      </w:r>
      <w:r>
        <w:rPr>
          <w:rFonts w:eastAsia="等线" w:ascii="Arial" w:cs="Arial" w:hAnsi="Arial"/>
          <w:sz w:val="22"/>
        </w:rPr>
        <w:t>：设定与印度立法进程紧密关联的近期复审日期。</w:t>
      </w:r>
    </w:p>
    <w:p>
      <w:pPr>
        <w:numPr>
          <w:numId w:val="32"/>
        </w:numPr>
        <w:spacing w:before="120" w:after="120" w:line="288" w:lineRule="auto"/>
        <w:ind w:left="0"/>
        <w:jc w:val="left"/>
      </w:pPr>
      <w:r>
        <w:rPr>
          <w:rFonts w:eastAsia="等线" w:ascii="Arial" w:cs="Arial" w:hAnsi="Arial"/>
          <w:b w:val="true"/>
          <w:sz w:val="22"/>
        </w:rPr>
        <w:t>生成逻辑与风险提示</w:t>
      </w:r>
      <w:r>
        <w:rPr>
          <w:rFonts w:eastAsia="等线" w:ascii="Arial" w:cs="Arial" w:hAnsi="Arial"/>
          <w:sz w:val="22"/>
        </w:rPr>
        <w:t>：</w:t>
      </w:r>
    </w:p>
    <w:p>
      <w:pPr>
        <w:numPr>
          <w:numId w:val="33"/>
        </w:numPr>
        <w:spacing w:before="120" w:after="120" w:line="288" w:lineRule="auto"/>
        <w:ind w:left="453"/>
        <w:jc w:val="left"/>
      </w:pPr>
      <w:r>
        <w:rPr>
          <w:rFonts w:eastAsia="等线" w:ascii="Arial" w:cs="Arial" w:hAnsi="Arial"/>
          <w:b w:val="true"/>
          <w:sz w:val="22"/>
        </w:rPr>
        <w:t>逻辑</w:t>
      </w:r>
      <w:r>
        <w:rPr>
          <w:rFonts w:eastAsia="等线" w:ascii="Arial" w:cs="Arial" w:hAnsi="Arial"/>
          <w:sz w:val="22"/>
        </w:rPr>
        <w:t>：识别到“极高风险目的地（印度）+ 极敏感数据（基因健康数据）”的组合 → 评估确认法律风险极高 → 要求必须匹配“极端”的技术补充措施（安全飞地）→ 得出一个高度条件化、带有强烈警告的“可进行”结论。</w:t>
      </w:r>
    </w:p>
    <w:p>
      <w:pPr>
        <w:numPr>
          <w:numId w:val="34"/>
        </w:numPr>
        <w:spacing w:before="120" w:after="120" w:line="288" w:lineRule="auto"/>
        <w:ind w:left="453"/>
        <w:jc w:val="left"/>
      </w:pPr>
      <w:r>
        <w:rPr>
          <w:rFonts w:eastAsia="等线" w:ascii="Arial" w:cs="Arial" w:hAnsi="Arial"/>
          <w:b w:val="true"/>
          <w:sz w:val="22"/>
        </w:rPr>
        <w:t>极高风险提示</w:t>
      </w:r>
      <w:r>
        <w:rPr>
          <w:rFonts w:eastAsia="等线" w:ascii="Arial" w:cs="Arial" w:hAnsi="Arial"/>
          <w:sz w:val="22"/>
        </w:rPr>
        <w:t>：</w:t>
      </w:r>
    </w:p>
    <w:p>
      <w:pPr>
        <w:numPr>
          <w:numId w:val="35"/>
        </w:numPr>
        <w:spacing w:before="120" w:after="120" w:line="288" w:lineRule="auto"/>
        <w:ind w:left="907"/>
        <w:jc w:val="left"/>
      </w:pPr>
      <w:r>
        <w:rPr>
          <w:rFonts w:eastAsia="等线" w:ascii="Arial" w:cs="Arial" w:hAnsi="Arial"/>
          <w:b w:val="true"/>
          <w:sz w:val="22"/>
        </w:rPr>
        <w:t>目的地国法律风险</w:t>
      </w:r>
      <w:r>
        <w:rPr>
          <w:rFonts w:eastAsia="等线" w:ascii="Arial" w:cs="Arial" w:hAnsi="Arial"/>
          <w:sz w:val="22"/>
        </w:rPr>
        <w:t>：印度是公认的数据保护高风险司法辖区，政府访问权宽泛且缺乏制衡。</w:t>
      </w:r>
    </w:p>
    <w:p>
      <w:pPr>
        <w:numPr>
          <w:numId w:val="36"/>
        </w:numPr>
        <w:spacing w:before="120" w:after="120" w:line="288" w:lineRule="auto"/>
        <w:ind w:left="907"/>
        <w:jc w:val="left"/>
      </w:pPr>
      <w:r>
        <w:rPr>
          <w:rFonts w:eastAsia="等线" w:ascii="Arial" w:cs="Arial" w:hAnsi="Arial"/>
          <w:b w:val="true"/>
          <w:sz w:val="22"/>
        </w:rPr>
        <w:t>数据敏感性</w:t>
      </w:r>
      <w:r>
        <w:rPr>
          <w:rFonts w:eastAsia="等线" w:ascii="Arial" w:cs="Arial" w:hAnsi="Arial"/>
          <w:sz w:val="22"/>
        </w:rPr>
        <w:t>：基因健康数据一旦泄露或被滥用，将造成不可逆的严重伤害。</w:t>
      </w:r>
    </w:p>
    <w:p>
      <w:pPr>
        <w:numPr>
          <w:numId w:val="37"/>
        </w:numPr>
        <w:spacing w:before="120" w:after="120" w:line="288" w:lineRule="auto"/>
        <w:ind w:left="907"/>
        <w:jc w:val="left"/>
      </w:pPr>
      <w:r>
        <w:rPr>
          <w:rFonts w:eastAsia="等线" w:ascii="Arial" w:cs="Arial" w:hAnsi="Arial"/>
          <w:b w:val="true"/>
          <w:sz w:val="22"/>
        </w:rPr>
        <w:t>措施复杂性</w:t>
      </w:r>
      <w:r>
        <w:rPr>
          <w:rFonts w:eastAsia="等线" w:ascii="Arial" w:cs="Arial" w:hAnsi="Arial"/>
          <w:sz w:val="22"/>
        </w:rPr>
        <w:t>：所依赖的“安全飞地”技术复杂，其自身安全性是单一故障点。实施和验证成本极高。</w:t>
      </w:r>
    </w:p>
    <w:p>
      <w:pPr>
        <w:numPr>
          <w:numId w:val="38"/>
        </w:numPr>
        <w:spacing w:before="120" w:after="120" w:line="288" w:lineRule="auto"/>
        <w:ind w:left="907"/>
        <w:jc w:val="left"/>
      </w:pPr>
      <w:r>
        <w:rPr>
          <w:rFonts w:eastAsia="等线" w:ascii="Arial" w:cs="Arial" w:hAnsi="Arial"/>
          <w:b w:val="true"/>
          <w:sz w:val="22"/>
        </w:rPr>
        <w:t>监管预期</w:t>
      </w:r>
      <w:r>
        <w:rPr>
          <w:rFonts w:eastAsia="等线" w:ascii="Arial" w:cs="Arial" w:hAnsi="Arial"/>
          <w:sz w:val="22"/>
        </w:rPr>
        <w:t>：此类传输极有可能引起欧盟监管机构的高度关注和审查。</w:t>
      </w:r>
    </w:p>
    <w:p>
      <w:pPr>
        <w:numPr>
          <w:numId w:val="39"/>
        </w:numPr>
        <w:spacing w:before="120" w:after="120" w:line="288" w:lineRule="auto"/>
        <w:ind w:left="907"/>
        <w:jc w:val="left"/>
      </w:pPr>
      <w:r>
        <w:rPr>
          <w:rFonts w:eastAsia="等线" w:ascii="Arial" w:cs="Arial" w:hAnsi="Arial"/>
          <w:b w:val="true"/>
          <w:sz w:val="22"/>
        </w:rPr>
        <w:t>最终建议</w:t>
      </w:r>
      <w:r>
        <w:rPr>
          <w:rFonts w:eastAsia="等线" w:ascii="Arial" w:cs="Arial" w:hAnsi="Arial"/>
          <w:sz w:val="22"/>
        </w:rPr>
        <w:t>：系统应强烈附和DPO意见，建议用户在实施前</w:t>
      </w:r>
      <w:r>
        <w:rPr>
          <w:rFonts w:eastAsia="等线" w:ascii="Arial" w:cs="Arial" w:hAnsi="Arial"/>
          <w:b w:val="true"/>
          <w:sz w:val="22"/>
        </w:rPr>
        <w:t>必须</w:t>
      </w:r>
      <w:r>
        <w:rPr>
          <w:rFonts w:eastAsia="等线" w:ascii="Arial" w:cs="Arial" w:hAnsi="Arial"/>
          <w:sz w:val="22"/>
        </w:rPr>
        <w:t>寻求主管监管机构（荷兰AP）的非正式指导或正式批准，不应仅仅依赖本TIA草案就启动传输。</w:t>
      </w: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5001">
    <w:lvl>
      <w:start w:val="1"/>
      <w:numFmt w:val="decimal"/>
      <w:suff w:val="tab"/>
      <w:lvlText w:val="%1."/>
      <w:rPr>
        <w:color w:val="3370ff"/>
      </w:rPr>
    </w:lvl>
  </w:abstractNum>
  <w:abstractNum w:abstractNumId="85002">
    <w:lvl>
      <w:numFmt w:val="bullet"/>
      <w:suff w:val="tab"/>
      <w:lvlText w:val="￮"/>
      <w:rPr>
        <w:color w:val="3370ff"/>
      </w:rPr>
    </w:lvl>
  </w:abstractNum>
  <w:abstractNum w:abstractNumId="85003">
    <w:lvl>
      <w:numFmt w:val="bullet"/>
      <w:suff w:val="tab"/>
      <w:lvlText w:val="￮"/>
      <w:rPr>
        <w:color w:val="3370ff"/>
      </w:rPr>
    </w:lvl>
  </w:abstractNum>
  <w:abstractNum w:abstractNumId="85004">
    <w:lvl>
      <w:numFmt w:val="bullet"/>
      <w:suff w:val="tab"/>
      <w:lvlText w:val="￮"/>
      <w:rPr>
        <w:color w:val="3370ff"/>
      </w:rPr>
    </w:lvl>
  </w:abstractNum>
  <w:abstractNum w:abstractNumId="85005">
    <w:lvl>
      <w:numFmt w:val="bullet"/>
      <w:suff w:val="tab"/>
      <w:lvlText w:val="￮"/>
      <w:rPr>
        <w:color w:val="3370ff"/>
      </w:rPr>
    </w:lvl>
  </w:abstractNum>
  <w:abstractNum w:abstractNumId="85006">
    <w:lvl>
      <w:numFmt w:val="bullet"/>
      <w:suff w:val="tab"/>
      <w:lvlText w:val="￮"/>
      <w:rPr>
        <w:color w:val="3370ff"/>
      </w:rPr>
    </w:lvl>
  </w:abstractNum>
  <w:abstractNum w:abstractNumId="85007">
    <w:lvl>
      <w:numFmt w:val="bullet"/>
      <w:suff w:val="tab"/>
      <w:lvlText w:val="￮"/>
      <w:rPr>
        <w:color w:val="3370ff"/>
      </w:rPr>
    </w:lvl>
  </w:abstractNum>
  <w:abstractNum w:abstractNumId="85008">
    <w:lvl>
      <w:start w:val="2"/>
      <w:numFmt w:val="decimal"/>
      <w:suff w:val="tab"/>
      <w:lvlText w:val="%1."/>
      <w:rPr>
        <w:color w:val="3370ff"/>
      </w:rPr>
    </w:lvl>
  </w:abstractNum>
  <w:abstractNum w:abstractNumId="85009">
    <w:lvl>
      <w:numFmt w:val="bullet"/>
      <w:suff w:val="tab"/>
      <w:lvlText w:val="￮"/>
      <w:rPr>
        <w:color w:val="3370ff"/>
      </w:rPr>
    </w:lvl>
  </w:abstractNum>
  <w:abstractNum w:abstractNumId="85010">
    <w:lvl>
      <w:numFmt w:val="bullet"/>
      <w:suff w:val="tab"/>
      <w:lvlText w:val="￮"/>
      <w:rPr>
        <w:color w:val="3370ff"/>
      </w:rPr>
    </w:lvl>
  </w:abstractNum>
  <w:abstractNum w:abstractNumId="85011">
    <w:lvl>
      <w:numFmt w:val="bullet"/>
      <w:suff w:val="tab"/>
      <w:lvlText w:val="▪"/>
      <w:rPr>
        <w:color w:val="3370ff"/>
        <w:sz w:val="11"/>
      </w:rPr>
    </w:lvl>
  </w:abstractNum>
  <w:abstractNum w:abstractNumId="85012">
    <w:lvl>
      <w:numFmt w:val="bullet"/>
      <w:suff w:val="tab"/>
      <w:lvlText w:val="▪"/>
      <w:rPr>
        <w:color w:val="3370ff"/>
        <w:sz w:val="11"/>
      </w:rPr>
    </w:lvl>
  </w:abstractNum>
  <w:abstractNum w:abstractNumId="85013">
    <w:lvl>
      <w:numFmt w:val="bullet"/>
      <w:suff w:val="tab"/>
      <w:lvlText w:val="▪"/>
      <w:rPr>
        <w:color w:val="3370ff"/>
        <w:sz w:val="11"/>
      </w:rPr>
    </w:lvl>
  </w:abstractNum>
  <w:abstractNum w:abstractNumId="85014">
    <w:lvl>
      <w:start w:val="1"/>
      <w:numFmt w:val="decimal"/>
      <w:suff w:val="tab"/>
      <w:lvlText w:val="%1."/>
      <w:rPr>
        <w:color w:val="3370ff"/>
      </w:rPr>
    </w:lvl>
  </w:abstractNum>
  <w:abstractNum w:abstractNumId="85015">
    <w:lvl>
      <w:numFmt w:val="bullet"/>
      <w:suff w:val="tab"/>
      <w:lvlText w:val="￮"/>
      <w:rPr>
        <w:color w:val="3370ff"/>
      </w:rPr>
    </w:lvl>
  </w:abstractNum>
  <w:abstractNum w:abstractNumId="85016">
    <w:lvl>
      <w:numFmt w:val="bullet"/>
      <w:suff w:val="tab"/>
      <w:lvlText w:val="￮"/>
      <w:rPr>
        <w:color w:val="3370ff"/>
      </w:rPr>
    </w:lvl>
  </w:abstractNum>
  <w:abstractNum w:abstractNumId="85017">
    <w:lvl>
      <w:numFmt w:val="bullet"/>
      <w:suff w:val="tab"/>
      <w:lvlText w:val="￮"/>
      <w:rPr>
        <w:color w:val="3370ff"/>
      </w:rPr>
    </w:lvl>
  </w:abstractNum>
  <w:abstractNum w:abstractNumId="85018">
    <w:lvl>
      <w:numFmt w:val="bullet"/>
      <w:suff w:val="tab"/>
      <w:lvlText w:val="￮"/>
      <w:rPr>
        <w:color w:val="3370ff"/>
      </w:rPr>
    </w:lvl>
  </w:abstractNum>
  <w:abstractNum w:abstractNumId="85019">
    <w:lvl>
      <w:start w:val="2"/>
      <w:numFmt w:val="decimal"/>
      <w:suff w:val="tab"/>
      <w:lvlText w:val="%1."/>
      <w:rPr>
        <w:color w:val="3370ff"/>
      </w:rPr>
    </w:lvl>
  </w:abstractNum>
  <w:abstractNum w:abstractNumId="85020">
    <w:lvl>
      <w:numFmt w:val="bullet"/>
      <w:suff w:val="tab"/>
      <w:lvlText w:val="￮"/>
      <w:rPr>
        <w:color w:val="3370ff"/>
      </w:rPr>
    </w:lvl>
  </w:abstractNum>
  <w:abstractNum w:abstractNumId="85021">
    <w:lvl>
      <w:numFmt w:val="bullet"/>
      <w:suff w:val="tab"/>
      <w:lvlText w:val="￮"/>
      <w:rPr>
        <w:color w:val="3370ff"/>
      </w:rPr>
    </w:lvl>
  </w:abstractNum>
  <w:abstractNum w:abstractNumId="85022">
    <w:lvl>
      <w:numFmt w:val="bullet"/>
      <w:suff w:val="tab"/>
      <w:lvlText w:val="▪"/>
      <w:rPr>
        <w:color w:val="3370ff"/>
        <w:sz w:val="11"/>
      </w:rPr>
    </w:lvl>
  </w:abstractNum>
  <w:abstractNum w:abstractNumId="85023">
    <w:lvl>
      <w:numFmt w:val="bullet"/>
      <w:suff w:val="tab"/>
      <w:lvlText w:val="▪"/>
      <w:rPr>
        <w:color w:val="3370ff"/>
        <w:sz w:val="11"/>
      </w:rPr>
    </w:lvl>
  </w:abstractNum>
  <w:abstractNum w:abstractNumId="85024">
    <w:lvl>
      <w:numFmt w:val="bullet"/>
      <w:suff w:val="tab"/>
      <w:lvlText w:val="▪"/>
      <w:rPr>
        <w:color w:val="3370ff"/>
        <w:sz w:val="11"/>
      </w:rPr>
    </w:lvl>
  </w:abstractNum>
  <w:abstractNum w:abstractNumId="85025">
    <w:lvl>
      <w:start w:val="1"/>
      <w:numFmt w:val="decimal"/>
      <w:suff w:val="tab"/>
      <w:lvlText w:val="%1."/>
      <w:rPr>
        <w:color w:val="3370ff"/>
      </w:rPr>
    </w:lvl>
  </w:abstractNum>
  <w:abstractNum w:abstractNumId="85026">
    <w:lvl>
      <w:numFmt w:val="bullet"/>
      <w:suff w:val="tab"/>
      <w:lvlText w:val="￮"/>
      <w:rPr>
        <w:color w:val="3370ff"/>
      </w:rPr>
    </w:lvl>
  </w:abstractNum>
  <w:abstractNum w:abstractNumId="85027">
    <w:lvl>
      <w:numFmt w:val="bullet"/>
      <w:suff w:val="tab"/>
      <w:lvlText w:val="￮"/>
      <w:rPr>
        <w:color w:val="3370ff"/>
      </w:rPr>
    </w:lvl>
  </w:abstractNum>
  <w:abstractNum w:abstractNumId="85028">
    <w:lvl>
      <w:numFmt w:val="bullet"/>
      <w:suff w:val="tab"/>
      <w:lvlText w:val="￮"/>
      <w:rPr>
        <w:color w:val="3370ff"/>
      </w:rPr>
    </w:lvl>
  </w:abstractNum>
  <w:abstractNum w:abstractNumId="85029">
    <w:lvl>
      <w:numFmt w:val="bullet"/>
      <w:suff w:val="tab"/>
      <w:lvlText w:val="￮"/>
      <w:rPr>
        <w:color w:val="3370ff"/>
      </w:rPr>
    </w:lvl>
  </w:abstractNum>
  <w:abstractNum w:abstractNumId="85030">
    <w:lvl>
      <w:numFmt w:val="bullet"/>
      <w:suff w:val="tab"/>
      <w:lvlText w:val="￮"/>
      <w:rPr>
        <w:color w:val="3370ff"/>
      </w:rPr>
    </w:lvl>
  </w:abstractNum>
  <w:abstractNum w:abstractNumId="85031">
    <w:lvl>
      <w:numFmt w:val="bullet"/>
      <w:suff w:val="tab"/>
      <w:lvlText w:val="￮"/>
      <w:rPr>
        <w:color w:val="3370ff"/>
      </w:rPr>
    </w:lvl>
  </w:abstractNum>
  <w:abstractNum w:abstractNumId="85032">
    <w:lvl>
      <w:start w:val="2"/>
      <w:numFmt w:val="decimal"/>
      <w:suff w:val="tab"/>
      <w:lvlText w:val="%1."/>
      <w:rPr>
        <w:color w:val="3370ff"/>
      </w:rPr>
    </w:lvl>
  </w:abstractNum>
  <w:abstractNum w:abstractNumId="85033">
    <w:lvl>
      <w:numFmt w:val="bullet"/>
      <w:suff w:val="tab"/>
      <w:lvlText w:val="￮"/>
      <w:rPr>
        <w:color w:val="3370ff"/>
      </w:rPr>
    </w:lvl>
  </w:abstractNum>
  <w:abstractNum w:abstractNumId="85034">
    <w:lvl>
      <w:numFmt w:val="bullet"/>
      <w:suff w:val="tab"/>
      <w:lvlText w:val="￮"/>
      <w:rPr>
        <w:color w:val="3370ff"/>
      </w:rPr>
    </w:lvl>
  </w:abstractNum>
  <w:abstractNum w:abstractNumId="85035">
    <w:lvl>
      <w:numFmt w:val="bullet"/>
      <w:suff w:val="tab"/>
      <w:lvlText w:val="▪"/>
      <w:rPr>
        <w:color w:val="3370ff"/>
        <w:sz w:val="11"/>
      </w:rPr>
    </w:lvl>
  </w:abstractNum>
  <w:abstractNum w:abstractNumId="85036">
    <w:lvl>
      <w:numFmt w:val="bullet"/>
      <w:suff w:val="tab"/>
      <w:lvlText w:val="▪"/>
      <w:rPr>
        <w:color w:val="3370ff"/>
        <w:sz w:val="11"/>
      </w:rPr>
    </w:lvl>
  </w:abstractNum>
  <w:abstractNum w:abstractNumId="85037">
    <w:lvl>
      <w:numFmt w:val="bullet"/>
      <w:suff w:val="tab"/>
      <w:lvlText w:val="▪"/>
      <w:rPr>
        <w:color w:val="3370ff"/>
        <w:sz w:val="11"/>
      </w:rPr>
    </w:lvl>
  </w:abstractNum>
  <w:abstractNum w:abstractNumId="85038">
    <w:lvl>
      <w:numFmt w:val="bullet"/>
      <w:suff w:val="tab"/>
      <w:lvlText w:val="▪"/>
      <w:rPr>
        <w:color w:val="3370ff"/>
        <w:sz w:val="11"/>
      </w:rPr>
    </w:lvl>
  </w:abstractNum>
  <w:abstractNum w:abstractNumId="85039">
    <w:lvl>
      <w:numFmt w:val="bullet"/>
      <w:suff w:val="tab"/>
      <w:lvlText w:val="▪"/>
      <w:rPr>
        <w:color w:val="3370ff"/>
        <w:sz w:val="11"/>
      </w:rPr>
    </w:lvl>
  </w:abstractNum>
  <w:num w:numId="1">
    <w:abstractNumId w:val="85001"/>
  </w:num>
  <w:num w:numId="2">
    <w:abstractNumId w:val="85002"/>
  </w:num>
  <w:num w:numId="3">
    <w:abstractNumId w:val="85003"/>
  </w:num>
  <w:num w:numId="4">
    <w:abstractNumId w:val="85004"/>
  </w:num>
  <w:num w:numId="5">
    <w:abstractNumId w:val="85005"/>
  </w:num>
  <w:num w:numId="6">
    <w:abstractNumId w:val="85006"/>
  </w:num>
  <w:num w:numId="7">
    <w:abstractNumId w:val="85007"/>
  </w:num>
  <w:num w:numId="8">
    <w:abstractNumId w:val="85008"/>
  </w:num>
  <w:num w:numId="9">
    <w:abstractNumId w:val="85009"/>
  </w:num>
  <w:num w:numId="10">
    <w:abstractNumId w:val="85010"/>
  </w:num>
  <w:num w:numId="11">
    <w:abstractNumId w:val="85011"/>
  </w:num>
  <w:num w:numId="12">
    <w:abstractNumId w:val="85012"/>
  </w:num>
  <w:num w:numId="13">
    <w:abstractNumId w:val="85013"/>
  </w:num>
  <w:num w:numId="14">
    <w:abstractNumId w:val="85014"/>
  </w:num>
  <w:num w:numId="15">
    <w:abstractNumId w:val="85015"/>
  </w:num>
  <w:num w:numId="16">
    <w:abstractNumId w:val="85016"/>
  </w:num>
  <w:num w:numId="17">
    <w:abstractNumId w:val="85017"/>
  </w:num>
  <w:num w:numId="18">
    <w:abstractNumId w:val="85018"/>
  </w:num>
  <w:num w:numId="19">
    <w:abstractNumId w:val="85019"/>
  </w:num>
  <w:num w:numId="20">
    <w:abstractNumId w:val="85020"/>
  </w:num>
  <w:num w:numId="21">
    <w:abstractNumId w:val="85021"/>
  </w:num>
  <w:num w:numId="22">
    <w:abstractNumId w:val="85022"/>
  </w:num>
  <w:num w:numId="23">
    <w:abstractNumId w:val="85023"/>
  </w:num>
  <w:num w:numId="24">
    <w:abstractNumId w:val="85024"/>
  </w:num>
  <w:num w:numId="25">
    <w:abstractNumId w:val="85025"/>
  </w:num>
  <w:num w:numId="26">
    <w:abstractNumId w:val="85026"/>
  </w:num>
  <w:num w:numId="27">
    <w:abstractNumId w:val="85027"/>
  </w:num>
  <w:num w:numId="28">
    <w:abstractNumId w:val="85028"/>
  </w:num>
  <w:num w:numId="29">
    <w:abstractNumId w:val="85029"/>
  </w:num>
  <w:num w:numId="30">
    <w:abstractNumId w:val="85030"/>
  </w:num>
  <w:num w:numId="31">
    <w:abstractNumId w:val="85031"/>
  </w:num>
  <w:num w:numId="32">
    <w:abstractNumId w:val="85032"/>
  </w:num>
  <w:num w:numId="33">
    <w:abstractNumId w:val="85033"/>
  </w:num>
  <w:num w:numId="34">
    <w:abstractNumId w:val="85034"/>
  </w:num>
  <w:num w:numId="35">
    <w:abstractNumId w:val="85035"/>
  </w:num>
  <w:num w:numId="36">
    <w:abstractNumId w:val="85036"/>
  </w:num>
  <w:num w:numId="37">
    <w:abstractNumId w:val="85037"/>
  </w:num>
  <w:num w:numId="38">
    <w:abstractNumId w:val="85038"/>
  </w:num>
  <w:num w:numId="39">
    <w:abstractNumId w:val="850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2026-05-30T05:59:05Z</dcterms:created>
  <dc:creator>Apache POI</dc:creator>
</cp:coreProperties>
</file>