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欧盟数据出境路径Reference库清单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一、 核心条例 (Core Regulations) 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Regulation (EU) 2016/679 (General Data Protection Regulation, GDPR)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《通用数据保护条例》(GDPR)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二、 欧盟委员会实施决定 (European Commission Implementing Decisions) </w:t>
      </w:r>
      <w:bookmarkEnd w:id="1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Commission Implementing Decision (EU) 2021/914 on standard contractual clauses for the transfer of personal data to third countries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《关于向第三国传输个人数据的标准合同条款的实施决定》(EU) 2021/914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Commission Implementing Decision (EU) 2021/1772 on standard contractual clauses between controllers and processors under Article 28(7) of GDPR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《关于GDPR第28条第7款下控制者与处理者之间标准合同条款的实施决定》(EU) 2021/1772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Adequacy Decisions (e.g., for Japan, Republic of Korea, United Kingdom, etc.)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充分性决定</w:t>
      </w:r>
      <w:r>
        <w:rPr>
          <w:rFonts w:eastAsia="等线" w:ascii="Arial" w:cs="Arial" w:hAnsi="Arial"/>
          <w:sz w:val="22"/>
        </w:rPr>
        <w:t>（例如：对日本、大韩民国、英国等）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三、 欧洲数据保护委员会 (EDPB) 指南与建议 (EDPB Guidelines &amp; Recommendations) 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EDPB Recommendations 01/2020 on measures that supplement transfer tools to ensure compliance with the EU level of protection of personal 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《关于补充传输工具以确保符合欧盟个人数据保护水平的措施的建议》01/2020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EDPB Recommendations 01/2022 on the Application for Approval and on the elements and principles to be found in Controller Binding Corporate Rules (Art. 47 GDPR)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《关于控制器约束性公司规则（GDPR第47条）批准申请及其中应包含的要素和原则的建议》01/2022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EDPB Recommendations 02/2021 on the Application for Approval and on the elements and principles to be found in Processor Binding Corporate Rules (Art. 47 GDPR)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《关于处理者约束性公司规则（GDPR第47条）批准申请及其中应包含的要素和原则的建议》02/2021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EDPB Guidelines 2/2018 on derogations of Article 49 under Regulation 2016/679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《关于条例2016/679第49条减损的指南》2/2018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EDPB Guidelines 3/2018 on the territorial scope of the GDPR (Article 3)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《关于GDPR地域适用范围（第3条）的指南》3/2018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EDPB Guidelines 4/2021 on codes of conduct as tools for transfers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《关于行为准则作为传输工具的指南》4/2021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EDPB Guidelines 5/2021 on the Interplay between the application of Article 3 and the provisions on international transfers as per Chapter V of the GDPR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《关于GDPR第3条适用与第五章国际传输规定之间相互作用的指南》5/2021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EDPB Guidelines 8/2022 on identifying a controller or processor’s lead supervisory authority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《关于识别控制者或处理者主要监管机构的指南》8/2022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四、 第29条工作组文件 (Article 29 Working Party Documents) 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WP29 Working Document setting forth a co-operation procedure for the approval of “Binding Corporate Rules” for controllers and processors under the GDPR (WP263 rev.01)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《关于GDPR下控制器和处理者“约束性公司规则”批准合作程序的第29条工作组文件》(WP263 rev.01)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WP29 Recommendations on the Standard Application for Approval of Controller Binding Corporate Rules for the Transfer of Personal Data (WP264)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《关于控制器约束性公司规则传输个人数据标准批准申请的第29条工作组建议》(WP264)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WP29 Working Document on a guidance on Data Protection Impact Assessment (DPIA) and determining whether processing is “likely to result in a high risk” for the purposes of Regulation 2016/679 (WP248 rev.01)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《关于数据保护影响评估（DPIA）及为条例2016/679之目的确定处理是否“可能导致高风险”的指南的第29条工作组文件》(WP248 rev.01)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WP29 Guidelines on Automated individual decision-making and Profiling for the purposes of Regulation 2016/679 (WP251 rev.01)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《关于为条例2016/679之目的进行自动化个人决策和画像的第29条工作组指南》(WP251 rev.01)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WP29 Opinion 2/2017 on data processing at work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《关于工作中数据处理的第29条工作组意见》2/2017（涉及监控与跨境）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WP29 Opinion 3/2018 on the draft Standard Contractual Clauses submitted by the Cloud Infrastructure Services Providers in Europe (CISPE)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《关于欧洲云基础设施服务提供商（CISPE）提交的标准合同条款草案的第29条工作组意见》3/2018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五、 欧盟法院关键判例 (Key CJEU Case Law) 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Court of Justice of the European Union, Judgment in Case C-311/18 (Data Protection Commissioner v Facebook Ireland Ltd, Maximillian Schrems) – “Schrems II”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欧盟法院，案件 C-311/18 判决（数据保护专员诉Facebook爱尔兰有限公司、Maximillian Schrems案）– “Schrems II”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Court of Justice of the European Union, Judgment in Case C-362/14 (Maximillian Schrems v Data Protection Commissioner) – “Schrems I”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欧盟法院，案件 C-362/14 判决（Maximillian Schrems 诉 数据保护专员案）– “Schrems I”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Court of Justice of the European Union, Judgment in Case C-230/14 (Weltimmo s.r.o. v Nemzeti Adatvédelmi és Információszabadság Hatóság)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欧盟法院，案件 C-230/14 判决（Weltimmo s.r.o. 诉 匈牙利国家数据保护和信息自由局案）（涉及地域范围）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六、 其他相关标准与框架 (Other Relevant Standards &amp; Frameworks) 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ISO/IEC 27701:2019 Security techniques — Extension to ISO/IEC 27001 and ISO/IEC 27002 for privacy information management — Requirements and guidelines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《安全技术—ISO/IEC 27001和ISO/IEC 27002的隐私信息管理扩展—要求与指南》ISO/IEC 27701:2019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ISO/IEC 27018:2019 Code of practice for protection of personally identifiable information (PII) in public clouds acting as PII processors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《作为PII处理者的公共云中个人可识别信息（PII）保护实践规范》ISO/IEC 27018:2019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ISO/IEC 29151:2017 Code of practice for personally identifiable information protection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《个人可识别信息保护实践规范》ISO/IEC 29151:2017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七、 成员国监管机构指南示例 (Examples of National Supervisory Authority Guidance) </w:t>
      </w:r>
      <w:bookmarkEnd w:id="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French CNIL (Commission nationale de l'informatique et des libertés) – Recommendations on conducting a transfer impact assessment (TIA)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法国国家信息与自由委员会（CNIL）– 关于进行传输影响评估（TIA）的建议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German Datenschutzkonferenz (DSK) – Orientation guide for the assessment of third country transfers following the “Schrems II” judgment of the ECJ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德国数据保护会议（DSK）– 根据欧盟法院“Schrems II”判决评估第三国传输的导向指南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UK ICO (Information Commissioner's Office) – Data protection impact assessment (DPIA) template and guidance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英国信息专员办公室（ICO）– 数据保护影响评估（DPIA）模板与指南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Luxembourg CNPD (Commission nationale pour la protection des données) – List of processing operations subject to the requirement of a DPIA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卢森堡国家数据保护委员会（CNPD）– 需要DPIA的处理操作清单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37446">
    <w:lvl>
      <w:start w:val="1"/>
      <w:numFmt w:val="decimal"/>
      <w:suff w:val="tab"/>
      <w:lvlText w:val="%1."/>
      <w:rPr>
        <w:color w:val="3370ff"/>
      </w:rPr>
    </w:lvl>
  </w:abstractNum>
  <w:abstractNum w:abstractNumId="2037447">
    <w:lvl>
      <w:start w:val="1"/>
      <w:numFmt w:val="decimal"/>
      <w:suff w:val="tab"/>
      <w:lvlText w:val="%1."/>
      <w:rPr>
        <w:color w:val="3370ff"/>
      </w:rPr>
    </w:lvl>
  </w:abstractNum>
  <w:abstractNum w:abstractNumId="2037448">
    <w:lvl>
      <w:start w:val="2"/>
      <w:numFmt w:val="decimal"/>
      <w:suff w:val="tab"/>
      <w:lvlText w:val="%1."/>
      <w:rPr>
        <w:color w:val="3370ff"/>
      </w:rPr>
    </w:lvl>
  </w:abstractNum>
  <w:abstractNum w:abstractNumId="2037449">
    <w:lvl>
      <w:start w:val="3"/>
      <w:numFmt w:val="decimal"/>
      <w:suff w:val="tab"/>
      <w:lvlText w:val="%1."/>
      <w:rPr>
        <w:color w:val="3370ff"/>
      </w:rPr>
    </w:lvl>
  </w:abstractNum>
  <w:abstractNum w:abstractNumId="2037450">
    <w:lvl>
      <w:start w:val="1"/>
      <w:numFmt w:val="decimal"/>
      <w:suff w:val="tab"/>
      <w:lvlText w:val="%1."/>
      <w:rPr>
        <w:color w:val="3370ff"/>
      </w:rPr>
    </w:lvl>
  </w:abstractNum>
  <w:abstractNum w:abstractNumId="2037451">
    <w:lvl>
      <w:start w:val="2"/>
      <w:numFmt w:val="decimal"/>
      <w:suff w:val="tab"/>
      <w:lvlText w:val="%1."/>
      <w:rPr>
        <w:color w:val="3370ff"/>
      </w:rPr>
    </w:lvl>
  </w:abstractNum>
  <w:abstractNum w:abstractNumId="2037452">
    <w:lvl>
      <w:start w:val="3"/>
      <w:numFmt w:val="decimal"/>
      <w:suff w:val="tab"/>
      <w:lvlText w:val="%1."/>
      <w:rPr>
        <w:color w:val="3370ff"/>
      </w:rPr>
    </w:lvl>
  </w:abstractNum>
  <w:abstractNum w:abstractNumId="2037453">
    <w:lvl>
      <w:start w:val="4"/>
      <w:numFmt w:val="decimal"/>
      <w:suff w:val="tab"/>
      <w:lvlText w:val="%1."/>
      <w:rPr>
        <w:color w:val="3370ff"/>
      </w:rPr>
    </w:lvl>
  </w:abstractNum>
  <w:abstractNum w:abstractNumId="2037454">
    <w:lvl>
      <w:start w:val="5"/>
      <w:numFmt w:val="decimal"/>
      <w:suff w:val="tab"/>
      <w:lvlText w:val="%1."/>
      <w:rPr>
        <w:color w:val="3370ff"/>
      </w:rPr>
    </w:lvl>
  </w:abstractNum>
  <w:abstractNum w:abstractNumId="2037455">
    <w:lvl>
      <w:start w:val="6"/>
      <w:numFmt w:val="decimal"/>
      <w:suff w:val="tab"/>
      <w:lvlText w:val="%1."/>
      <w:rPr>
        <w:color w:val="3370ff"/>
      </w:rPr>
    </w:lvl>
  </w:abstractNum>
  <w:abstractNum w:abstractNumId="2037456">
    <w:lvl>
      <w:start w:val="7"/>
      <w:numFmt w:val="decimal"/>
      <w:suff w:val="tab"/>
      <w:lvlText w:val="%1."/>
      <w:rPr>
        <w:color w:val="3370ff"/>
      </w:rPr>
    </w:lvl>
  </w:abstractNum>
  <w:abstractNum w:abstractNumId="2037457">
    <w:lvl>
      <w:start w:val="8"/>
      <w:numFmt w:val="decimal"/>
      <w:suff w:val="tab"/>
      <w:lvlText w:val="%1."/>
      <w:rPr>
        <w:color w:val="3370ff"/>
      </w:rPr>
    </w:lvl>
  </w:abstractNum>
  <w:abstractNum w:abstractNumId="2037458">
    <w:lvl>
      <w:start w:val="1"/>
      <w:numFmt w:val="decimal"/>
      <w:suff w:val="tab"/>
      <w:lvlText w:val="%1."/>
      <w:rPr>
        <w:color w:val="3370ff"/>
      </w:rPr>
    </w:lvl>
  </w:abstractNum>
  <w:abstractNum w:abstractNumId="2037459">
    <w:lvl>
      <w:start w:val="2"/>
      <w:numFmt w:val="decimal"/>
      <w:suff w:val="tab"/>
      <w:lvlText w:val="%1."/>
      <w:rPr>
        <w:color w:val="3370ff"/>
      </w:rPr>
    </w:lvl>
  </w:abstractNum>
  <w:abstractNum w:abstractNumId="2037460">
    <w:lvl>
      <w:start w:val="3"/>
      <w:numFmt w:val="decimal"/>
      <w:suff w:val="tab"/>
      <w:lvlText w:val="%1."/>
      <w:rPr>
        <w:color w:val="3370ff"/>
      </w:rPr>
    </w:lvl>
  </w:abstractNum>
  <w:abstractNum w:abstractNumId="2037461">
    <w:lvl>
      <w:start w:val="4"/>
      <w:numFmt w:val="decimal"/>
      <w:suff w:val="tab"/>
      <w:lvlText w:val="%1."/>
      <w:rPr>
        <w:color w:val="3370ff"/>
      </w:rPr>
    </w:lvl>
  </w:abstractNum>
  <w:abstractNum w:abstractNumId="2037462">
    <w:lvl>
      <w:start w:val="5"/>
      <w:numFmt w:val="decimal"/>
      <w:suff w:val="tab"/>
      <w:lvlText w:val="%1."/>
      <w:rPr>
        <w:color w:val="3370ff"/>
      </w:rPr>
    </w:lvl>
  </w:abstractNum>
  <w:abstractNum w:abstractNumId="2037463">
    <w:lvl>
      <w:start w:val="6"/>
      <w:numFmt w:val="decimal"/>
      <w:suff w:val="tab"/>
      <w:lvlText w:val="%1."/>
      <w:rPr>
        <w:color w:val="3370ff"/>
      </w:rPr>
    </w:lvl>
  </w:abstractNum>
  <w:abstractNum w:abstractNumId="2037464">
    <w:lvl>
      <w:start w:val="1"/>
      <w:numFmt w:val="decimal"/>
      <w:suff w:val="tab"/>
      <w:lvlText w:val="%1."/>
      <w:rPr>
        <w:color w:val="3370ff"/>
      </w:rPr>
    </w:lvl>
  </w:abstractNum>
  <w:abstractNum w:abstractNumId="2037465">
    <w:lvl>
      <w:start w:val="2"/>
      <w:numFmt w:val="decimal"/>
      <w:suff w:val="tab"/>
      <w:lvlText w:val="%1."/>
      <w:rPr>
        <w:color w:val="3370ff"/>
      </w:rPr>
    </w:lvl>
  </w:abstractNum>
  <w:abstractNum w:abstractNumId="2037466">
    <w:lvl>
      <w:start w:val="3"/>
      <w:numFmt w:val="decimal"/>
      <w:suff w:val="tab"/>
      <w:lvlText w:val="%1."/>
      <w:rPr>
        <w:color w:val="3370ff"/>
      </w:rPr>
    </w:lvl>
  </w:abstractNum>
  <w:abstractNum w:abstractNumId="2037467">
    <w:lvl>
      <w:start w:val="1"/>
      <w:numFmt w:val="decimal"/>
      <w:suff w:val="tab"/>
      <w:lvlText w:val="%1."/>
      <w:rPr>
        <w:color w:val="3370ff"/>
      </w:rPr>
    </w:lvl>
  </w:abstractNum>
  <w:abstractNum w:abstractNumId="2037468">
    <w:lvl>
      <w:start w:val="2"/>
      <w:numFmt w:val="decimal"/>
      <w:suff w:val="tab"/>
      <w:lvlText w:val="%1."/>
      <w:rPr>
        <w:color w:val="3370ff"/>
      </w:rPr>
    </w:lvl>
  </w:abstractNum>
  <w:abstractNum w:abstractNumId="2037469">
    <w:lvl>
      <w:start w:val="3"/>
      <w:numFmt w:val="decimal"/>
      <w:suff w:val="tab"/>
      <w:lvlText w:val="%1."/>
      <w:rPr>
        <w:color w:val="3370ff"/>
      </w:rPr>
    </w:lvl>
  </w:abstractNum>
  <w:abstractNum w:abstractNumId="2037470">
    <w:lvl>
      <w:start w:val="1"/>
      <w:numFmt w:val="decimal"/>
      <w:suff w:val="tab"/>
      <w:lvlText w:val="%1."/>
      <w:rPr>
        <w:color w:val="3370ff"/>
      </w:rPr>
    </w:lvl>
  </w:abstractNum>
  <w:abstractNum w:abstractNumId="2037471">
    <w:lvl>
      <w:start w:val="2"/>
      <w:numFmt w:val="decimal"/>
      <w:suff w:val="tab"/>
      <w:lvlText w:val="%1."/>
      <w:rPr>
        <w:color w:val="3370ff"/>
      </w:rPr>
    </w:lvl>
  </w:abstractNum>
  <w:abstractNum w:abstractNumId="2037472">
    <w:lvl>
      <w:start w:val="3"/>
      <w:numFmt w:val="decimal"/>
      <w:suff w:val="tab"/>
      <w:lvlText w:val="%1."/>
      <w:rPr>
        <w:color w:val="3370ff"/>
      </w:rPr>
    </w:lvl>
  </w:abstractNum>
  <w:abstractNum w:abstractNumId="203747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037446"/>
  </w:num>
  <w:num w:numId="2">
    <w:abstractNumId w:val="2037447"/>
  </w:num>
  <w:num w:numId="3">
    <w:abstractNumId w:val="2037448"/>
  </w:num>
  <w:num w:numId="4">
    <w:abstractNumId w:val="2037449"/>
  </w:num>
  <w:num w:numId="5">
    <w:abstractNumId w:val="2037450"/>
  </w:num>
  <w:num w:numId="6">
    <w:abstractNumId w:val="2037451"/>
  </w:num>
  <w:num w:numId="7">
    <w:abstractNumId w:val="2037452"/>
  </w:num>
  <w:num w:numId="8">
    <w:abstractNumId w:val="2037453"/>
  </w:num>
  <w:num w:numId="9">
    <w:abstractNumId w:val="2037454"/>
  </w:num>
  <w:num w:numId="10">
    <w:abstractNumId w:val="2037455"/>
  </w:num>
  <w:num w:numId="11">
    <w:abstractNumId w:val="2037456"/>
  </w:num>
  <w:num w:numId="12">
    <w:abstractNumId w:val="2037457"/>
  </w:num>
  <w:num w:numId="13">
    <w:abstractNumId w:val="2037458"/>
  </w:num>
  <w:num w:numId="14">
    <w:abstractNumId w:val="2037459"/>
  </w:num>
  <w:num w:numId="15">
    <w:abstractNumId w:val="2037460"/>
  </w:num>
  <w:num w:numId="16">
    <w:abstractNumId w:val="2037461"/>
  </w:num>
  <w:num w:numId="17">
    <w:abstractNumId w:val="2037462"/>
  </w:num>
  <w:num w:numId="18">
    <w:abstractNumId w:val="2037463"/>
  </w:num>
  <w:num w:numId="19">
    <w:abstractNumId w:val="2037464"/>
  </w:num>
  <w:num w:numId="20">
    <w:abstractNumId w:val="2037465"/>
  </w:num>
  <w:num w:numId="21">
    <w:abstractNumId w:val="2037466"/>
  </w:num>
  <w:num w:numId="22">
    <w:abstractNumId w:val="2037467"/>
  </w:num>
  <w:num w:numId="23">
    <w:abstractNumId w:val="2037468"/>
  </w:num>
  <w:num w:numId="24">
    <w:abstractNumId w:val="2037469"/>
  </w:num>
  <w:num w:numId="25">
    <w:abstractNumId w:val="2037470"/>
  </w:num>
  <w:num w:numId="26">
    <w:abstractNumId w:val="2037471"/>
  </w:num>
  <w:num w:numId="27">
    <w:abstractNumId w:val="2037472"/>
  </w:num>
  <w:num w:numId="28">
    <w:abstractNumId w:val="20374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2026-05-30T06:04:37Z</dcterms:created>
  <dc:creator>Apache POI</dc:creator>
</cp:coreProperties>
</file>