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BCR-C Compliance Review Report</w:t>
      </w:r>
    </w:p>
    <w:p>
      <w:r/>
      <w:r>
        <w:t>HealthData Alliance</w:t>
      </w:r>
    </w:p>
    <w:p>
      <w:r/>
      <w:r>
        <w:t>BCR Document-Driven Review (BCR-C)</w:t>
      </w:r>
    </w:p>
    <w:p>
      <w:r/>
      <w:r>
        <w:t>20260808</w:t>
      </w:r>
    </w:p>
    <w:p>
      <w:r/>
      <w:r>
        <w:t>Overall Rating: 高风险</w:t>
      </w:r>
    </w:p>
    <w:p>
      <w:r/>
      <w:r>
        <w:t>Key Findings: Binding nature (internal and external) 覆盖不完整；Third-party beneficiary rights 覆盖不完整；EU liable entity designation 覆盖不完整；Complaint handling mechanism 覆盖不完整；缺失 Cooperation with supervisory authorities</w:t>
      </w:r>
    </w:p>
    <w:p>
      <w:r/>
      <w:r>
        <w:t>Detailed: | 检查项 | 主题 | 风险 | 现状 | 整改建议 | 法律依据 |</w:t>
      </w:r>
      <w:r>
        <w:br/>
      </w:r>
      <w:r>
        <w:t>| --- | --- | --- | --- | --- | --- |</w:t>
      </w:r>
      <w:r>
        <w:br/>
      </w:r>
      <w:r>
        <w:t>| BCR-C-1.1 | Binding nature (internal and external) 覆盖不完整 | HIGH | Binding nature (internal and external) 部分覆盖但缺少关键要素. 依据：GDPR Article 47(1)(a)，EDPB Recommendations 1/2022。证据：未提及集团内协议或其他具有法律约束力的内部文书 | 应补充 Binding nature (internal and external) 的完整内容。 | GDPR Article 47(1)(a)；EDPB Recommendations 1/2022 |</w:t>
      </w:r>
      <w:r>
        <w:br/>
      </w:r>
      <w:r>
        <w:t>| BCR-C-1.2 | Third-party beneficiary rights 覆盖不完整 | HIGH | Third-party beneficiary rights 部分覆盖但缺少关键要素. 依据：GDPR Article 47(1)(b)，EDPB Recommendations 1/2022。证据：文本未包含数据主体可直接强制执行BCR的第三方受益人权利描述 | 应补充 Third-party beneficiary rights 的完整内容。 | GDPR Article 47(1)(b)；EDPB Recommendations 1/2022 |</w:t>
      </w:r>
      <w:r>
        <w:br/>
      </w:r>
      <w:r>
        <w:t>| BCR-C-1.3 | EU liable entity designation 覆盖不完整 | HIGH | EU liable entity designation 部分覆盖但缺少关键要素. 依据：GDPR Article 47(2)(f)，EDPB Recommendations 1/2022。证据：未指定一个在欧盟境内设立的实体作为承担BCR合规责任的主体 | 应补充 EU liable entity designation 的完整内容。 | GDPR Article 47(2)(f)；EDPB Recommendations 1/2022 |</w:t>
      </w:r>
      <w:r>
        <w:br/>
      </w:r>
      <w:r>
        <w:t>| BCR-C-1.6 | Complaint handling mechanism 覆盖不完整 | MEDIUM | Complaint handling mechanism 部分覆盖但缺少关键要素. 依据：GDPR Article 47(2)(e)，EDPB Recommendations 1/2022。证据：未明确投诉处理的时限（如一个月内） | 应补充 Complaint handling mechanism 的完整内容。 | GDPR Article 47(2)(e)；EDPB Recommendations 1/2022 |</w:t>
      </w:r>
      <w:r>
        <w:br/>
      </w:r>
      <w:r>
        <w:t>| BCR-C-1.7 | 缺失 Cooperation with supervisory authorities | MEDIUM | 未在文档中找到 Cooperation with supervisory authorities 的相关内容. 依据：GDPR Article 47(2)(f)，EDPB Recommendations 1/2022。证据： | 应补充 Cooperation with supervisory authorities 的完整内容。 | GDPR Article 47(2)(f)；EDPB Recommendations 1/2022 |</w:t>
      </w:r>
      <w:r>
        <w:br/>
      </w:r>
      <w:r>
        <w:t>| BCR-C-1.8 | Onward transfer restrictions 表述模糊 | HIGH | Onward transfer restrictions 使用了模糊表述，未达到具体可执行标准. 依据：GDPR Chapter V，EDPB Recommendations 1/2022。证据：使用'substantially similar'等笼统表述定义保护标准，未指向具体GDPR保护水平或SCC | 应补充 Onward transfer restrictions 的完整内容。 | GDPR Chapter V；EDPB Recommendations 1/2022 |</w:t>
      </w:r>
      <w:r>
        <w:br/>
      </w:r>
      <w:r>
        <w:t>| BCR-C-1.9 | Third country law assessment (TIA) 覆盖不完整 | HIGH | Third country law assessment (TIA) 部分覆盖但缺少关键要素. 依据：Schrems II, EDPB 01/2020，EDPB Recommendations 01/2020。证据：未说明使用EDPB六步法或其他结构化方法进行TIA | 应补充 Third country law assessment (TIA) 的完整内容。 | Schrems II, EDPB 01/2020；EDPB Recommendations 01/2020 |</w:t>
      </w:r>
      <w:r>
        <w:br/>
      </w:r>
      <w:r>
        <w:t>| BCR-C-1.10 | 缺失 Audit and training mechanisms | MEDIUM | 未在文档中找到 Audit and training mechanisms 的相关内容. 依据：GDPR Article 47(2)(h)，EDPB Recommendations 1/2022。证据： | 应补充 Audit and training mechanisms 的完整内容。 | GDPR Article 47(2)(h)；EDPB Recommendations 1/2022 |</w:t>
      </w:r>
      <w:r>
        <w:br/>
      </w:r>
      <w:r>
        <w:t>| BCR-C-1.12 | Termination and exit provisions 覆盖不完整 | MEDIUM | Termination and exit provisions 部分覆盖但缺少关键要素. 依据：GDPR Article 47(2)(j)，EDPB Recommendations 1/2022。证据：命中关键词: ['end'] | 应补充 Termination and exit provisions 的完整内容。 | GDPR Article 47(2)(j)；EDPB Recommendations 1/2022 |</w:t>
      </w:r>
      <w:r>
        <w:br/>
      </w:r>
      <w:r>
        <w:t>| BCR-SHARED-2 | Personal data breach notification 覆盖不完整 | MEDIUM | Personal data breach notification 部分覆盖但缺少关键要素. 依据：，GDPR Article 33, 34。证据：命中关键词: ['breach'] | 应补充 Personal data breach notification 的完整内容。 | ；GDPR Article 33, 34 |</w:t>
      </w:r>
    </w:p>
    <w:p>
      <w:r/>
      <w:r>
        <w:t>High Risk: Binding nature (internal and external) 覆盖不完整；Third-party beneficiary rights 覆盖不完整；EU liable entity designation 覆盖不完整；Onward transfer restrictions 表述模糊；Third country law assessment (TIA) 覆盖不完整；未明确指定 EU 责任主体；未赋予数据主体第三方受益人权利；转委托处理缺乏书面授权机制；缺少法律约束力文书具体说明</w:t>
      </w:r>
    </w:p>
    <w:p>
      <w:r/>
      <w:r>
        <w:t>Medium Risk: Complaint handling mechanism 覆盖不完整；缺失 Cooperation with supervisory authorities；缺失 Audit and training mechanisms；Termination and exit provisions 覆盖不完整；Personal data breach notification 覆盖不完整；Government access request handling 覆盖不完整；TIA 未引用 EDPB 结构化评估方法；TIA 缺少定期审查机制；TIA 未提及补充保护措施；TIA 缺少无法缓解风险时的中止条款；未明确限制向非 BCR 成员传输；缺少转委托授权机制；EU 责任主体未明确承诺责任/赔偿；缺少数据主体救济渠道说明；TIA 评估方法不够完整；投诉处理时限未明确；缺少子处理者变更通知机制</w:t>
      </w:r>
    </w:p>
    <w:p>
      <w:r/>
      <w:r>
        <w:t>Low Risk: 无</w:t>
      </w:r>
    </w:p>
    <w:p>
      <w:r/>
      <w:r>
        <w:t>Remediation: 高风险项（需立即整改）：</w:t>
      </w:r>
      <w:r>
        <w:br/>
      </w:r>
      <w:r>
        <w:t xml:space="preserve">  - Binding nature (internal and external) 覆盖不完整</w:t>
      </w:r>
      <w:r>
        <w:br/>
      </w:r>
      <w:r>
        <w:t xml:space="preserve">  - Third-party beneficiary rights 覆盖不完整</w:t>
      </w:r>
      <w:r>
        <w:br/>
      </w:r>
      <w:r>
        <w:t xml:space="preserve">  - EU liable entity designation 覆盖不完整</w:t>
      </w:r>
      <w:r>
        <w:br/>
      </w:r>
      <w:r>
        <w:t xml:space="preserve">  - Onward transfer restrictions 表述模糊</w:t>
      </w:r>
      <w:r>
        <w:br/>
      </w:r>
      <w:r>
        <w:t xml:space="preserve">  - Third country law assessment (TIA) 覆盖不完整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