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“安全评估路径”测试案例及预期输出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测试案例一：CIIO金融机构向境外母公司传输数据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中国“东方信托有限责任公司”是一家受金融监管的持牌机构，属于关键信息基础设施运营者（CIIO）。需向位于香港的母公司“东方金融控股集团”传输每日的交易结算数据和部分高净值客户（经客户授权）的资产配置信息，用于集团合并报表与风险监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用户输入详情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A. 基础信息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数据处理者：东方信托有限责任公司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股权结构：母公司为香港东方金融控股集团（持股100%）。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组织架构：已设立数据安全委员会，首席风险官为负责人。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B. 自评估工作信息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起止时间：2025年4月1日-4月20日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实施方式：由内部合规部牵头，信息技术部、业务部门协同完成。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C. 数据出境场景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业务描述：跨境集团财务报告与风险管理。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目的：满足集团合并报表监管要求，进行集中风险分析。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频率：每日一次（T+1）。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合法性依据：履行集团内部管理与监管报告义务。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D. 出境数据清单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E. 系统与链路信息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境内存储：公司本地数据中心。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传输链路：通过IPSec-VPN专线，加密传输至香港母公司的私有云平台。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境外存储：香港数据中心。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F. 安全保障能力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管理：有《数据分类分级管理规范》，但未明确列出“重要数据”具体目录。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技术：传输采用AES-256加密，存储采用令牌化技术。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认证：已通过网络安全等级保护（三级）测评。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G. 境外接收方信息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基本情况：东方金融控股集团，香港上市公司。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安全能力：描述为“符合香港本地法律和国际标准”，</w:t>
      </w:r>
      <w:r>
        <w:rPr>
          <w:rFonts w:eastAsia="等线" w:ascii="Arial" w:cs="Arial" w:hAnsi="Arial"/>
          <w:b w:val="true"/>
          <w:sz w:val="22"/>
        </w:rPr>
        <w:t>未提供具体认证或审计报告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H. 法律文件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与母公司签订有《集团数据共享与处理协议》，但</w:t>
      </w:r>
      <w:r>
        <w:rPr>
          <w:rFonts w:eastAsia="等线" w:ascii="Arial" w:cs="Arial" w:hAnsi="Arial"/>
          <w:b w:val="true"/>
          <w:sz w:val="22"/>
        </w:rPr>
        <w:t>未包含“数据出境安全评估办法”第九条要求的全部6项核心条款</w:t>
      </w:r>
      <w:r>
        <w:rPr>
          <w:rFonts w:eastAsia="等线" w:ascii="Arial" w:cs="Arial" w:hAnsi="Arial"/>
          <w:sz w:val="22"/>
        </w:rPr>
        <w:t>，例如缺少接收方所在法律环境变化的处理措施、再转移约束不明确。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I. 历史合规情况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2024年曾因“客户信息保护不力”受到当地银保监局警告，已整改完毕。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J. 个人信息保护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已通过线上协议更新，获取了约8万名高净值客户关于“向关联集团共享资产信息用于风险管理”的单独同意。</w:t>
      </w:r>
      <w:r>
        <w:rPr>
          <w:rFonts w:eastAsia="等线" w:ascii="Arial" w:cs="Arial" w:hAnsi="Arial"/>
          <w:b w:val="true"/>
          <w:sz w:val="22"/>
        </w:rPr>
        <w:t>但同意记录（如日志、截图）未系统化归档，仅作为业务数据存留。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预期输出（《报告草案》核心内容）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报告结构</w:t>
      </w:r>
      <w:r>
        <w:rPr>
          <w:rFonts w:eastAsia="等线" w:ascii="Arial" w:cs="Arial" w:hAnsi="Arial"/>
          <w:sz w:val="22"/>
        </w:rPr>
        <w:t>：完整填充模板所有章节。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关键判断与风险提示（在相应章节和生成逻辑说明中）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CIIO身份</w:t>
      </w:r>
      <w:r>
        <w:rPr>
          <w:rFonts w:eastAsia="等线" w:ascii="Arial" w:cs="Arial" w:hAnsi="Arial"/>
          <w:sz w:val="22"/>
        </w:rPr>
        <w:t>：明确标注，触发安全评估核心条件。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重要数据</w:t>
      </w:r>
      <w:r>
        <w:rPr>
          <w:rFonts w:eastAsia="等线" w:ascii="Arial" w:cs="Arial" w:hAnsi="Arial"/>
          <w:sz w:val="22"/>
        </w:rPr>
        <w:t>：指出“日终交易结算流水”可能涉及重要数据，但公司内部目录不清晰，</w:t>
      </w:r>
      <w:r>
        <w:rPr>
          <w:rFonts w:eastAsia="等线" w:ascii="Arial" w:cs="Arial" w:hAnsi="Arial"/>
          <w:b w:val="true"/>
          <w:sz w:val="22"/>
        </w:rPr>
        <w:t>建议明确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数据清单</w:t>
      </w:r>
      <w:r>
        <w:rPr>
          <w:rFonts w:eastAsia="等线" w:ascii="Arial" w:cs="Arial" w:hAnsi="Arial"/>
          <w:sz w:val="22"/>
        </w:rPr>
        <w:t>：自动生成表格，但提示“客户资产汇总信息”若可关联到特定个人，属于敏感个人信息（金融账户），评估中需加强保护分析。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境外接收方</w:t>
      </w:r>
      <w:r>
        <w:rPr>
          <w:rFonts w:eastAsia="等线" w:ascii="Arial" w:cs="Arial" w:hAnsi="Arial"/>
          <w:sz w:val="22"/>
        </w:rPr>
        <w:t>：指出其安全能力描述模糊，是</w:t>
      </w:r>
      <w:r>
        <w:rPr>
          <w:rFonts w:eastAsia="等线" w:ascii="Arial" w:cs="Arial" w:hAnsi="Arial"/>
          <w:b w:val="true"/>
          <w:sz w:val="22"/>
        </w:rPr>
        <w:t>重大风险点</w:t>
      </w:r>
      <w:r>
        <w:rPr>
          <w:rFonts w:eastAsia="等线" w:ascii="Arial" w:cs="Arial" w:hAnsi="Arial"/>
          <w:sz w:val="22"/>
        </w:rPr>
        <w:t>，建议获取SOC2、ISO27001等认证证明。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法律文件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高亮缺失条款</w:t>
      </w:r>
      <w:r>
        <w:rPr>
          <w:rFonts w:eastAsia="等线" w:ascii="Arial" w:cs="Arial" w:hAnsi="Arial"/>
          <w:sz w:val="22"/>
        </w:rPr>
        <w:t>，明确指出不符合《评估办法》第九条，必须补充修订。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个人信息同意</w:t>
      </w:r>
      <w:r>
        <w:rPr>
          <w:rFonts w:eastAsia="等线" w:ascii="Arial" w:cs="Arial" w:hAnsi="Arial"/>
          <w:sz w:val="22"/>
        </w:rPr>
        <w:t>：指出同意记录管理不规范，存在举证风险，建议建立独立归档和审计机制。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历史处罚</w:t>
      </w:r>
      <w:r>
        <w:rPr>
          <w:rFonts w:eastAsia="等线" w:ascii="Arial" w:cs="Arial" w:hAnsi="Arial"/>
          <w:sz w:val="22"/>
        </w:rPr>
        <w:t>：在“遵守法律法规情况”部分如实记录，并说明已整改。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最终结论方向</w:t>
      </w:r>
      <w:r>
        <w:rPr>
          <w:rFonts w:eastAsia="等线" w:ascii="Arial" w:cs="Arial" w:hAnsi="Arial"/>
          <w:sz w:val="22"/>
        </w:rPr>
        <w:t>：报告必须导向“存在风险，需在整改（特别是法律文件和接收方安全证明）后，申报安全评估”的审慎结论。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测试案例二：大型电商平台用户行为数据出境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：“优选购物”APP（非CIIO）需将中国大陆用户的浏览、点击、购买行为日志（去标识化后）传输至其开曼群岛注册的母公司“Global E-commerce Inc.”的数据湖，用于训练全球推荐算法模型。年出境用户数预计达120万人。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用户输入详情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A, B, C</w:t>
      </w:r>
      <w:r>
        <w:rPr>
          <w:rFonts w:eastAsia="等线" w:ascii="Arial" w:cs="Arial" w:hAnsi="Arial"/>
          <w:sz w:val="22"/>
        </w:rPr>
        <w:t>（略）：公司为非CIIO，自评估为内部进行。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D. 出境数据清单</w:t>
      </w:r>
    </w:p>
    <w:p>
      <w:pPr>
        <w:spacing w:before="120" w:after="120" w:line="288" w:lineRule="auto"/>
        <w:ind w:left="0"/>
      </w:pPr>
      <w:r>
        <w:object>
          <v:shape id="_x0000_i1026" style="width:414pt;height:139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E. 系统与链路信息</w:t>
      </w:r>
      <w:r>
        <w:rPr>
          <w:rFonts w:eastAsia="等线" w:ascii="Arial" w:cs="Arial" w:hAnsi="Arial"/>
          <w:sz w:val="22"/>
        </w:rPr>
        <w:t>：通过阿里云国际站，从杭州区域同步至新加坡区域，再转至母公司AWS美西区数据湖。</w:t>
      </w:r>
      <w:r>
        <w:rPr>
          <w:rFonts w:eastAsia="等线" w:ascii="Arial" w:cs="Arial" w:hAnsi="Arial"/>
          <w:b w:val="true"/>
          <w:sz w:val="22"/>
        </w:rPr>
        <w:t>链路长，涉及多次跨境和云服务商转换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F. 安全保障能力</w:t>
      </w:r>
      <w:r>
        <w:rPr>
          <w:rFonts w:eastAsia="等线" w:ascii="Arial" w:cs="Arial" w:hAnsi="Arial"/>
          <w:sz w:val="22"/>
        </w:rPr>
        <w:t>：强调使用K-匿名和差分隐私技术，但</w:t>
      </w:r>
      <w:r>
        <w:rPr>
          <w:rFonts w:eastAsia="等线" w:ascii="Arial" w:cs="Arial" w:hAnsi="Arial"/>
          <w:b w:val="true"/>
          <w:sz w:val="22"/>
        </w:rPr>
        <w:t>未提供第三方对其去标识化有效性的审计报告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G. 境外接收方信息</w:t>
      </w:r>
      <w:r>
        <w:rPr>
          <w:rFonts w:eastAsia="等线" w:ascii="Arial" w:cs="Arial" w:hAnsi="Arial"/>
          <w:sz w:val="22"/>
        </w:rPr>
        <w:t>：母公司为控股壳公司，</w:t>
      </w:r>
      <w:r>
        <w:rPr>
          <w:rFonts w:eastAsia="等线" w:ascii="Arial" w:cs="Arial" w:hAnsi="Arial"/>
          <w:b w:val="true"/>
          <w:sz w:val="22"/>
        </w:rPr>
        <w:t>无实际技术团队</w:t>
      </w:r>
      <w:r>
        <w:rPr>
          <w:rFonts w:eastAsia="等线" w:ascii="Arial" w:cs="Arial" w:hAnsi="Arial"/>
          <w:sz w:val="22"/>
        </w:rPr>
        <w:t>，数据实际由母公司委托的第三方数据分析公司“DataMind LLC”（美国）处理。此信息在输入中</w:t>
      </w:r>
      <w:r>
        <w:rPr>
          <w:rFonts w:eastAsia="等线" w:ascii="Arial" w:cs="Arial" w:hAnsi="Arial"/>
          <w:b w:val="true"/>
          <w:sz w:val="22"/>
        </w:rPr>
        <w:t>散落在各处，未系统说明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H. 法律文件</w:t>
      </w:r>
      <w:r>
        <w:rPr>
          <w:rFonts w:eastAsia="等线" w:ascii="Arial" w:cs="Arial" w:hAnsi="Arial"/>
          <w:sz w:val="22"/>
        </w:rPr>
        <w:t>：与母公司有协议，但</w:t>
      </w:r>
      <w:r>
        <w:rPr>
          <w:rFonts w:eastAsia="等线" w:ascii="Arial" w:cs="Arial" w:hAnsi="Arial"/>
          <w:b w:val="true"/>
          <w:sz w:val="22"/>
        </w:rPr>
        <w:t>未约束其下游数据处理者（DataMind LLC）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I. 历史合规</w:t>
      </w:r>
      <w:r>
        <w:rPr>
          <w:rFonts w:eastAsia="等线" w:ascii="Arial" w:cs="Arial" w:hAnsi="Arial"/>
          <w:sz w:val="22"/>
        </w:rPr>
        <w:t>：无。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J. 个人信息保护</w:t>
      </w:r>
      <w:r>
        <w:rPr>
          <w:rFonts w:eastAsia="等线" w:ascii="Arial" w:cs="Arial" w:hAnsi="Arial"/>
          <w:sz w:val="22"/>
        </w:rPr>
        <w:t>：隐私政策中提及“可能向关联方共享数据以改进服务”，</w:t>
      </w:r>
      <w:r>
        <w:rPr>
          <w:rFonts w:eastAsia="等线" w:ascii="Arial" w:cs="Arial" w:hAnsi="Arial"/>
          <w:b w:val="true"/>
          <w:sz w:val="22"/>
        </w:rPr>
        <w:t>但未明确列出境外母公司及具体目的，也未获取针对此出境场景的“单独同意”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预期输出（《报告草案》核心内容）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核心判断</w:t>
      </w:r>
      <w:r>
        <w:rPr>
          <w:rFonts w:eastAsia="等线" w:ascii="Arial" w:cs="Arial" w:hAnsi="Arial"/>
          <w:sz w:val="22"/>
        </w:rPr>
        <w:t>：出境数量（120万人&gt;100万）触发安全评估。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关键风险提示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数据性质</w:t>
      </w:r>
      <w:r>
        <w:rPr>
          <w:rFonts w:eastAsia="等线" w:ascii="Arial" w:cs="Arial" w:hAnsi="Arial"/>
          <w:sz w:val="22"/>
        </w:rPr>
        <w:t>：指出“匿名设备ID”存在重标识化风险，可能被认定为个人信息，使出境数量从“一般”变为“个人信息”，且规模巨大，</w:t>
      </w:r>
      <w:r>
        <w:rPr>
          <w:rFonts w:eastAsia="等线" w:ascii="Arial" w:cs="Arial" w:hAnsi="Arial"/>
          <w:b w:val="true"/>
          <w:sz w:val="22"/>
        </w:rPr>
        <w:t>极大加重风险等级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出境必要性</w:t>
      </w:r>
      <w:r>
        <w:rPr>
          <w:rFonts w:eastAsia="等线" w:ascii="Arial" w:cs="Arial" w:hAnsi="Arial"/>
          <w:sz w:val="22"/>
        </w:rPr>
        <w:t>：提示“提升体验”的论述不够具体，建议关联至具体业务指标（如转化率提升）。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复杂链路</w:t>
      </w:r>
      <w:r>
        <w:rPr>
          <w:rFonts w:eastAsia="等线" w:ascii="Arial" w:cs="Arial" w:hAnsi="Arial"/>
          <w:sz w:val="22"/>
        </w:rPr>
        <w:t>：指出多跳传输增加泄露和合规管控风险，需评估各中转地法律环境。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实际处理者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重点揭示</w:t>
      </w:r>
      <w:r>
        <w:rPr>
          <w:rFonts w:eastAsia="等线" w:ascii="Arial" w:cs="Arial" w:hAnsi="Arial"/>
          <w:sz w:val="22"/>
        </w:rPr>
        <w:t>数据最终由未在合同中的美国第三方处理，这是严重违规。系统需提示必须签署三方协议或引入标准合同条款（SCC）。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告知同意</w:t>
      </w:r>
      <w:r>
        <w:rPr>
          <w:rFonts w:eastAsia="等线" w:ascii="Arial" w:cs="Arial" w:hAnsi="Arial"/>
          <w:sz w:val="22"/>
        </w:rPr>
        <w:t>：明确指出当前隐私政策告知不充分，且缺乏单独同意，</w:t>
      </w:r>
      <w:r>
        <w:rPr>
          <w:rFonts w:eastAsia="等线" w:ascii="Arial" w:cs="Arial" w:hAnsi="Arial"/>
          <w:b w:val="true"/>
          <w:sz w:val="22"/>
        </w:rPr>
        <w:t>构成合法性缺陷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去标识化有效性</w:t>
      </w:r>
      <w:r>
        <w:rPr>
          <w:rFonts w:eastAsia="等线" w:ascii="Arial" w:cs="Arial" w:hAnsi="Arial"/>
          <w:sz w:val="22"/>
        </w:rPr>
        <w:t>：要求提供技术验证或审计证据。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测试案例三：新能源汽车研发数据出境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：“蔚驱汽车”向德国合作伙伴“AutoTech GmbH”传输其在华测试车辆的特定传感器数据包（包含部分去标识化的车辆轨迹片段），用于联合开发自动驾驶功能。数据包含地理位置信息，且累计涉及车辆（VIN码）超过10万辆。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用户输入详情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A, B, C</w:t>
      </w:r>
      <w:r>
        <w:rPr>
          <w:rFonts w:eastAsia="等线" w:ascii="Arial" w:cs="Arial" w:hAnsi="Arial"/>
          <w:sz w:val="22"/>
        </w:rPr>
        <w:t>（略）。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D. 出境数据清单</w:t>
      </w:r>
    </w:p>
    <w:p>
      <w:pPr>
        <w:spacing w:before="120" w:after="120" w:line="288" w:lineRule="auto"/>
        <w:ind w:left="0"/>
      </w:pPr>
      <w:r>
        <w:object>
          <v:shape id="_x0000_i1027" style="width:414pt;height:120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E. 系统与链路</w:t>
      </w:r>
      <w:r>
        <w:rPr>
          <w:rFonts w:eastAsia="等线" w:ascii="Arial" w:cs="Arial" w:hAnsi="Arial"/>
          <w:sz w:val="22"/>
        </w:rPr>
        <w:t>：通过企业自建SD-WAN加密传输。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F. 安全保障</w:t>
      </w:r>
      <w:r>
        <w:rPr>
          <w:rFonts w:eastAsia="等线" w:ascii="Arial" w:cs="Arial" w:hAnsi="Arial"/>
          <w:sz w:val="22"/>
        </w:rPr>
        <w:t>：传输加密，存储加密。</w:t>
      </w:r>
      <w:r>
        <w:rPr>
          <w:rFonts w:eastAsia="等线" w:ascii="Arial" w:cs="Arial" w:hAnsi="Arial"/>
          <w:b w:val="true"/>
          <w:sz w:val="22"/>
        </w:rPr>
        <w:t>但未提及数据出境的审批流程和内部监控措施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G. 境外接收方</w:t>
      </w:r>
      <w:r>
        <w:rPr>
          <w:rFonts w:eastAsia="等线" w:ascii="Arial" w:cs="Arial" w:hAnsi="Arial"/>
          <w:sz w:val="22"/>
        </w:rPr>
        <w:t>：德国公司，描述其遵守GDPR。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H. 法律文件</w:t>
      </w:r>
      <w:r>
        <w:rPr>
          <w:rFonts w:eastAsia="等线" w:ascii="Arial" w:cs="Arial" w:hAnsi="Arial"/>
          <w:sz w:val="22"/>
        </w:rPr>
        <w:t>：联合开发协议中有数据保护附件，但</w:t>
      </w:r>
      <w:r>
        <w:rPr>
          <w:rFonts w:eastAsia="等线" w:ascii="Arial" w:cs="Arial" w:hAnsi="Arial"/>
          <w:b w:val="true"/>
          <w:sz w:val="22"/>
        </w:rPr>
        <w:t>责任划分模糊</w:t>
      </w:r>
      <w:r>
        <w:rPr>
          <w:rFonts w:eastAsia="等线" w:ascii="Arial" w:cs="Arial" w:hAnsi="Arial"/>
          <w:sz w:val="22"/>
        </w:rPr>
        <w:t>，特别是发生数据泄露时的响应机制。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I, J</w:t>
      </w:r>
      <w:r>
        <w:rPr>
          <w:rFonts w:eastAsia="等线" w:ascii="Arial" w:cs="Arial" w:hAnsi="Arial"/>
          <w:sz w:val="22"/>
        </w:rPr>
        <w:t>：不涉及个人信息同意（声称已匿名化）。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预期输出（《报告草案》核心内容）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核心触发点</w:t>
      </w:r>
      <w:r>
        <w:rPr>
          <w:rFonts w:eastAsia="等线" w:ascii="Arial" w:cs="Arial" w:hAnsi="Arial"/>
          <w:sz w:val="22"/>
        </w:rPr>
        <w:t>：车辆数超10万，涉及地理位置信息，</w:t>
      </w:r>
      <w:r>
        <w:rPr>
          <w:rFonts w:eastAsia="等线" w:ascii="Arial" w:cs="Arial" w:hAnsi="Arial"/>
          <w:b w:val="true"/>
          <w:sz w:val="22"/>
        </w:rPr>
        <w:t>强烈建议</w:t>
      </w:r>
      <w:r>
        <w:rPr>
          <w:rFonts w:eastAsia="等线" w:ascii="Arial" w:cs="Arial" w:hAnsi="Arial"/>
          <w:sz w:val="22"/>
        </w:rPr>
        <w:t>按重要数据或敏感个人信息从严评估，触发安全评估。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关键风险提示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数据定性模糊（核心风险）</w:t>
      </w:r>
      <w:r>
        <w:rPr>
          <w:rFonts w:eastAsia="等线" w:ascii="Arial" w:cs="Arial" w:hAnsi="Arial"/>
          <w:sz w:val="22"/>
        </w:rPr>
        <w:t>：系统应启动“重要数据辅助判断”，引导用户确认是否为“汽车数据处理中的重要数据”。并提示，即使不认定，GPS坐标也极易构成“行踪轨迹”这一敏感个人信息。</w:t>
      </w:r>
      <w:r>
        <w:rPr>
          <w:rFonts w:eastAsia="等线" w:ascii="Arial" w:cs="Arial" w:hAnsi="Arial"/>
          <w:b w:val="true"/>
          <w:sz w:val="22"/>
        </w:rPr>
        <w:t>此模糊性是最大风险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数据量</w:t>
      </w:r>
      <w:r>
        <w:rPr>
          <w:rFonts w:eastAsia="等线" w:ascii="Arial" w:cs="Arial" w:hAnsi="Arial"/>
          <w:sz w:val="22"/>
        </w:rPr>
        <w:t>：明确数量已超安全评估阈值。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内部管理</w:t>
      </w:r>
      <w:r>
        <w:rPr>
          <w:rFonts w:eastAsia="等线" w:ascii="Arial" w:cs="Arial" w:hAnsi="Arial"/>
          <w:sz w:val="22"/>
        </w:rPr>
        <w:t>：指出缺少内部审批流程，存在管理漏洞。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法律文件</w:t>
      </w:r>
      <w:r>
        <w:rPr>
          <w:rFonts w:eastAsia="等线" w:ascii="Arial" w:cs="Arial" w:hAnsi="Arial"/>
          <w:sz w:val="22"/>
        </w:rPr>
        <w:t>：指出责任条款不清晰，需细化。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匿名化有效性</w:t>
      </w:r>
      <w:r>
        <w:rPr>
          <w:rFonts w:eastAsia="等线" w:ascii="Arial" w:cs="Arial" w:hAnsi="Arial"/>
          <w:sz w:val="22"/>
        </w:rPr>
        <w:t>：对“车辆匿名编号”和“GPS精度10米”是否能有效防止重识别提出质疑，要求提供评估依据。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6724">
    <w:lvl>
      <w:numFmt w:val="bullet"/>
      <w:suff w:val="tab"/>
      <w:lvlText w:val="•"/>
      <w:rPr>
        <w:color w:val="3370ff"/>
      </w:rPr>
    </w:lvl>
  </w:abstractNum>
  <w:abstractNum w:abstractNumId="1086725">
    <w:lvl>
      <w:numFmt w:val="bullet"/>
      <w:suff w:val="tab"/>
      <w:lvlText w:val="￮"/>
      <w:rPr>
        <w:color w:val="3370ff"/>
      </w:rPr>
    </w:lvl>
  </w:abstractNum>
  <w:abstractNum w:abstractNumId="1086726">
    <w:lvl>
      <w:numFmt w:val="bullet"/>
      <w:suff w:val="tab"/>
      <w:lvlText w:val="￮"/>
      <w:rPr>
        <w:color w:val="3370ff"/>
      </w:rPr>
    </w:lvl>
  </w:abstractNum>
  <w:abstractNum w:abstractNumId="1086727">
    <w:lvl>
      <w:numFmt w:val="bullet"/>
      <w:suff w:val="tab"/>
      <w:lvlText w:val="￮"/>
      <w:rPr>
        <w:color w:val="3370ff"/>
      </w:rPr>
    </w:lvl>
  </w:abstractNum>
  <w:abstractNum w:abstractNumId="1086728">
    <w:lvl>
      <w:numFmt w:val="bullet"/>
      <w:suff w:val="tab"/>
      <w:lvlText w:val="•"/>
      <w:rPr>
        <w:color w:val="3370ff"/>
      </w:rPr>
    </w:lvl>
  </w:abstractNum>
  <w:abstractNum w:abstractNumId="1086729">
    <w:lvl>
      <w:numFmt w:val="bullet"/>
      <w:suff w:val="tab"/>
      <w:lvlText w:val="￮"/>
      <w:rPr>
        <w:color w:val="3370ff"/>
      </w:rPr>
    </w:lvl>
  </w:abstractNum>
  <w:abstractNum w:abstractNumId="1086730">
    <w:lvl>
      <w:numFmt w:val="bullet"/>
      <w:suff w:val="tab"/>
      <w:lvlText w:val="￮"/>
      <w:rPr>
        <w:color w:val="3370ff"/>
      </w:rPr>
    </w:lvl>
  </w:abstractNum>
  <w:abstractNum w:abstractNumId="1086731">
    <w:lvl>
      <w:numFmt w:val="bullet"/>
      <w:suff w:val="tab"/>
      <w:lvlText w:val="•"/>
      <w:rPr>
        <w:color w:val="3370ff"/>
      </w:rPr>
    </w:lvl>
  </w:abstractNum>
  <w:abstractNum w:abstractNumId="1086732">
    <w:lvl>
      <w:numFmt w:val="bullet"/>
      <w:suff w:val="tab"/>
      <w:lvlText w:val="￮"/>
      <w:rPr>
        <w:color w:val="3370ff"/>
      </w:rPr>
    </w:lvl>
  </w:abstractNum>
  <w:abstractNum w:abstractNumId="1086733">
    <w:lvl>
      <w:numFmt w:val="bullet"/>
      <w:suff w:val="tab"/>
      <w:lvlText w:val="￮"/>
      <w:rPr>
        <w:color w:val="3370ff"/>
      </w:rPr>
    </w:lvl>
  </w:abstractNum>
  <w:abstractNum w:abstractNumId="1086734">
    <w:lvl>
      <w:numFmt w:val="bullet"/>
      <w:suff w:val="tab"/>
      <w:lvlText w:val="￮"/>
      <w:rPr>
        <w:color w:val="3370ff"/>
      </w:rPr>
    </w:lvl>
  </w:abstractNum>
  <w:abstractNum w:abstractNumId="1086735">
    <w:lvl>
      <w:numFmt w:val="bullet"/>
      <w:suff w:val="tab"/>
      <w:lvlText w:val="￮"/>
      <w:rPr>
        <w:color w:val="3370ff"/>
      </w:rPr>
    </w:lvl>
  </w:abstractNum>
  <w:abstractNum w:abstractNumId="1086736">
    <w:lvl>
      <w:numFmt w:val="bullet"/>
      <w:suff w:val="tab"/>
      <w:lvlText w:val="•"/>
      <w:rPr>
        <w:color w:val="3370ff"/>
      </w:rPr>
    </w:lvl>
  </w:abstractNum>
  <w:abstractNum w:abstractNumId="1086737">
    <w:lvl>
      <w:numFmt w:val="bullet"/>
      <w:suff w:val="tab"/>
      <w:lvlText w:val="•"/>
      <w:rPr>
        <w:color w:val="3370ff"/>
      </w:rPr>
    </w:lvl>
  </w:abstractNum>
  <w:abstractNum w:abstractNumId="1086738">
    <w:lvl>
      <w:numFmt w:val="bullet"/>
      <w:suff w:val="tab"/>
      <w:lvlText w:val="￮"/>
      <w:rPr>
        <w:color w:val="3370ff"/>
      </w:rPr>
    </w:lvl>
  </w:abstractNum>
  <w:abstractNum w:abstractNumId="1086739">
    <w:lvl>
      <w:numFmt w:val="bullet"/>
      <w:suff w:val="tab"/>
      <w:lvlText w:val="￮"/>
      <w:rPr>
        <w:color w:val="3370ff"/>
      </w:rPr>
    </w:lvl>
  </w:abstractNum>
  <w:abstractNum w:abstractNumId="1086740">
    <w:lvl>
      <w:numFmt w:val="bullet"/>
      <w:suff w:val="tab"/>
      <w:lvlText w:val="￮"/>
      <w:rPr>
        <w:color w:val="3370ff"/>
      </w:rPr>
    </w:lvl>
  </w:abstractNum>
  <w:abstractNum w:abstractNumId="1086741">
    <w:lvl>
      <w:numFmt w:val="bullet"/>
      <w:suff w:val="tab"/>
      <w:lvlText w:val="•"/>
      <w:rPr>
        <w:color w:val="3370ff"/>
      </w:rPr>
    </w:lvl>
  </w:abstractNum>
  <w:abstractNum w:abstractNumId="1086742">
    <w:lvl>
      <w:numFmt w:val="bullet"/>
      <w:suff w:val="tab"/>
      <w:lvlText w:val="￮"/>
      <w:rPr>
        <w:color w:val="3370ff"/>
      </w:rPr>
    </w:lvl>
  </w:abstractNum>
  <w:abstractNum w:abstractNumId="1086743">
    <w:lvl>
      <w:numFmt w:val="bullet"/>
      <w:suff w:val="tab"/>
      <w:lvlText w:val="￮"/>
      <w:rPr>
        <w:color w:val="3370ff"/>
      </w:rPr>
    </w:lvl>
  </w:abstractNum>
  <w:abstractNum w:abstractNumId="1086744">
    <w:lvl>
      <w:numFmt w:val="bullet"/>
      <w:suff w:val="tab"/>
      <w:lvlText w:val="￮"/>
      <w:rPr>
        <w:color w:val="3370ff"/>
      </w:rPr>
    </w:lvl>
  </w:abstractNum>
  <w:abstractNum w:abstractNumId="1086745">
    <w:lvl>
      <w:numFmt w:val="bullet"/>
      <w:suff w:val="tab"/>
      <w:lvlText w:val="•"/>
      <w:rPr>
        <w:color w:val="3370ff"/>
      </w:rPr>
    </w:lvl>
  </w:abstractNum>
  <w:abstractNum w:abstractNumId="1086746">
    <w:lvl>
      <w:numFmt w:val="bullet"/>
      <w:suff w:val="tab"/>
      <w:lvlText w:val="￮"/>
      <w:rPr>
        <w:color w:val="3370ff"/>
      </w:rPr>
    </w:lvl>
  </w:abstractNum>
  <w:abstractNum w:abstractNumId="1086747">
    <w:lvl>
      <w:numFmt w:val="bullet"/>
      <w:suff w:val="tab"/>
      <w:lvlText w:val="￮"/>
      <w:rPr>
        <w:color w:val="3370ff"/>
      </w:rPr>
    </w:lvl>
  </w:abstractNum>
  <w:abstractNum w:abstractNumId="1086748">
    <w:lvl>
      <w:numFmt w:val="bullet"/>
      <w:suff w:val="tab"/>
      <w:lvlText w:val="•"/>
      <w:rPr>
        <w:color w:val="3370ff"/>
      </w:rPr>
    </w:lvl>
  </w:abstractNum>
  <w:abstractNum w:abstractNumId="1086749">
    <w:lvl>
      <w:numFmt w:val="bullet"/>
      <w:suff w:val="tab"/>
      <w:lvlText w:val="￮"/>
      <w:rPr>
        <w:color w:val="3370ff"/>
      </w:rPr>
    </w:lvl>
  </w:abstractNum>
  <w:abstractNum w:abstractNumId="1086750">
    <w:lvl>
      <w:numFmt w:val="bullet"/>
      <w:suff w:val="tab"/>
      <w:lvlText w:val="•"/>
      <w:rPr>
        <w:color w:val="3370ff"/>
      </w:rPr>
    </w:lvl>
  </w:abstractNum>
  <w:abstractNum w:abstractNumId="1086751">
    <w:lvl>
      <w:numFmt w:val="bullet"/>
      <w:suff w:val="tab"/>
      <w:lvlText w:val="￮"/>
      <w:rPr>
        <w:color w:val="3370ff"/>
      </w:rPr>
    </w:lvl>
  </w:abstractNum>
  <w:abstractNum w:abstractNumId="1086752">
    <w:lvl>
      <w:numFmt w:val="bullet"/>
      <w:suff w:val="tab"/>
      <w:lvlText w:val="•"/>
      <w:rPr>
        <w:color w:val="3370ff"/>
      </w:rPr>
    </w:lvl>
  </w:abstractNum>
  <w:abstractNum w:abstractNumId="1086753">
    <w:lvl>
      <w:numFmt w:val="bullet"/>
      <w:suff w:val="tab"/>
      <w:lvlText w:val="￮"/>
      <w:rPr>
        <w:color w:val="3370ff"/>
      </w:rPr>
    </w:lvl>
  </w:abstractNum>
  <w:abstractNum w:abstractNumId="1086754">
    <w:lvl>
      <w:start w:val="1"/>
      <w:numFmt w:val="decimal"/>
      <w:suff w:val="tab"/>
      <w:lvlText w:val="%1."/>
      <w:rPr>
        <w:color w:val="3370ff"/>
      </w:rPr>
    </w:lvl>
  </w:abstractNum>
  <w:abstractNum w:abstractNumId="1086755">
    <w:lvl>
      <w:start w:val="2"/>
      <w:numFmt w:val="decimal"/>
      <w:suff w:val="tab"/>
      <w:lvlText w:val="%1."/>
      <w:rPr>
        <w:color w:val="3370ff"/>
      </w:rPr>
    </w:lvl>
  </w:abstractNum>
  <w:abstractNum w:abstractNumId="1086756">
    <w:lvl>
      <w:numFmt w:val="bullet"/>
      <w:suff w:val="tab"/>
      <w:lvlText w:val="￮"/>
      <w:rPr>
        <w:color w:val="3370ff"/>
      </w:rPr>
    </w:lvl>
  </w:abstractNum>
  <w:abstractNum w:abstractNumId="1086757">
    <w:lvl>
      <w:numFmt w:val="bullet"/>
      <w:suff w:val="tab"/>
      <w:lvlText w:val="￮"/>
      <w:rPr>
        <w:color w:val="3370ff"/>
      </w:rPr>
    </w:lvl>
  </w:abstractNum>
  <w:abstractNum w:abstractNumId="1086758">
    <w:lvl>
      <w:numFmt w:val="bullet"/>
      <w:suff w:val="tab"/>
      <w:lvlText w:val="￮"/>
      <w:rPr>
        <w:color w:val="3370ff"/>
      </w:rPr>
    </w:lvl>
  </w:abstractNum>
  <w:abstractNum w:abstractNumId="1086759">
    <w:lvl>
      <w:numFmt w:val="bullet"/>
      <w:suff w:val="tab"/>
      <w:lvlText w:val="￮"/>
      <w:rPr>
        <w:color w:val="3370ff"/>
      </w:rPr>
    </w:lvl>
  </w:abstractNum>
  <w:abstractNum w:abstractNumId="1086760">
    <w:lvl>
      <w:numFmt w:val="bullet"/>
      <w:suff w:val="tab"/>
      <w:lvlText w:val="￮"/>
      <w:rPr>
        <w:color w:val="3370ff"/>
      </w:rPr>
    </w:lvl>
  </w:abstractNum>
  <w:abstractNum w:abstractNumId="1086761">
    <w:lvl>
      <w:numFmt w:val="bullet"/>
      <w:suff w:val="tab"/>
      <w:lvlText w:val="￮"/>
      <w:rPr>
        <w:color w:val="3370ff"/>
      </w:rPr>
    </w:lvl>
  </w:abstractNum>
  <w:abstractNum w:abstractNumId="1086762">
    <w:lvl>
      <w:numFmt w:val="bullet"/>
      <w:suff w:val="tab"/>
      <w:lvlText w:val="￮"/>
      <w:rPr>
        <w:color w:val="3370ff"/>
      </w:rPr>
    </w:lvl>
  </w:abstractNum>
  <w:abstractNum w:abstractNumId="1086763">
    <w:lvl>
      <w:start w:val="3"/>
      <w:numFmt w:val="decimal"/>
      <w:suff w:val="tab"/>
      <w:lvlText w:val="%1."/>
      <w:rPr>
        <w:color w:val="3370ff"/>
      </w:rPr>
    </w:lvl>
  </w:abstractNum>
  <w:abstractNum w:abstractNumId="1086764">
    <w:lvl>
      <w:numFmt w:val="bullet"/>
      <w:suff w:val="tab"/>
      <w:lvlText w:val="•"/>
      <w:rPr>
        <w:color w:val="3370ff"/>
      </w:rPr>
    </w:lvl>
  </w:abstractNum>
  <w:abstractNum w:abstractNumId="1086765">
    <w:lvl>
      <w:numFmt w:val="bullet"/>
      <w:suff w:val="tab"/>
      <w:lvlText w:val="•"/>
      <w:rPr>
        <w:color w:val="3370ff"/>
      </w:rPr>
    </w:lvl>
  </w:abstractNum>
  <w:abstractNum w:abstractNumId="1086766">
    <w:lvl>
      <w:numFmt w:val="bullet"/>
      <w:suff w:val="tab"/>
      <w:lvlText w:val="•"/>
      <w:rPr>
        <w:color w:val="3370ff"/>
      </w:rPr>
    </w:lvl>
  </w:abstractNum>
  <w:abstractNum w:abstractNumId="1086767">
    <w:lvl>
      <w:numFmt w:val="bullet"/>
      <w:suff w:val="tab"/>
      <w:lvlText w:val="•"/>
      <w:rPr>
        <w:color w:val="3370ff"/>
      </w:rPr>
    </w:lvl>
  </w:abstractNum>
  <w:abstractNum w:abstractNumId="1086768">
    <w:lvl>
      <w:numFmt w:val="bullet"/>
      <w:suff w:val="tab"/>
      <w:lvlText w:val="•"/>
      <w:rPr>
        <w:color w:val="3370ff"/>
      </w:rPr>
    </w:lvl>
  </w:abstractNum>
  <w:abstractNum w:abstractNumId="1086769">
    <w:lvl>
      <w:numFmt w:val="bullet"/>
      <w:suff w:val="tab"/>
      <w:lvlText w:val="•"/>
      <w:rPr>
        <w:color w:val="3370ff"/>
      </w:rPr>
    </w:lvl>
  </w:abstractNum>
  <w:abstractNum w:abstractNumId="1086770">
    <w:lvl>
      <w:numFmt w:val="bullet"/>
      <w:suff w:val="tab"/>
      <w:lvlText w:val="•"/>
      <w:rPr>
        <w:color w:val="3370ff"/>
      </w:rPr>
    </w:lvl>
  </w:abstractNum>
  <w:abstractNum w:abstractNumId="1086771">
    <w:lvl>
      <w:numFmt w:val="bullet"/>
      <w:suff w:val="tab"/>
      <w:lvlText w:val="•"/>
      <w:rPr>
        <w:color w:val="3370ff"/>
      </w:rPr>
    </w:lvl>
  </w:abstractNum>
  <w:abstractNum w:abstractNumId="1086772">
    <w:lvl>
      <w:start w:val="1"/>
      <w:numFmt w:val="decimal"/>
      <w:suff w:val="tab"/>
      <w:lvlText w:val="%1."/>
      <w:rPr>
        <w:color w:val="3370ff"/>
      </w:rPr>
    </w:lvl>
  </w:abstractNum>
  <w:abstractNum w:abstractNumId="1086773">
    <w:lvl>
      <w:start w:val="2"/>
      <w:numFmt w:val="decimal"/>
      <w:suff w:val="tab"/>
      <w:lvlText w:val="%1."/>
      <w:rPr>
        <w:color w:val="3370ff"/>
      </w:rPr>
    </w:lvl>
  </w:abstractNum>
  <w:abstractNum w:abstractNumId="1086774">
    <w:lvl>
      <w:numFmt w:val="bullet"/>
      <w:suff w:val="tab"/>
      <w:lvlText w:val="￮"/>
      <w:rPr>
        <w:color w:val="3370ff"/>
      </w:rPr>
    </w:lvl>
  </w:abstractNum>
  <w:abstractNum w:abstractNumId="1086775">
    <w:lvl>
      <w:numFmt w:val="bullet"/>
      <w:suff w:val="tab"/>
      <w:lvlText w:val="￮"/>
      <w:rPr>
        <w:color w:val="3370ff"/>
      </w:rPr>
    </w:lvl>
  </w:abstractNum>
  <w:abstractNum w:abstractNumId="1086776">
    <w:lvl>
      <w:numFmt w:val="bullet"/>
      <w:suff w:val="tab"/>
      <w:lvlText w:val="￮"/>
      <w:rPr>
        <w:color w:val="3370ff"/>
      </w:rPr>
    </w:lvl>
  </w:abstractNum>
  <w:abstractNum w:abstractNumId="1086777">
    <w:lvl>
      <w:numFmt w:val="bullet"/>
      <w:suff w:val="tab"/>
      <w:lvlText w:val="￮"/>
      <w:rPr>
        <w:color w:val="3370ff"/>
      </w:rPr>
    </w:lvl>
  </w:abstractNum>
  <w:abstractNum w:abstractNumId="1086778">
    <w:lvl>
      <w:numFmt w:val="bullet"/>
      <w:suff w:val="tab"/>
      <w:lvlText w:val="￮"/>
      <w:rPr>
        <w:color w:val="3370ff"/>
      </w:rPr>
    </w:lvl>
  </w:abstractNum>
  <w:abstractNum w:abstractNumId="1086779">
    <w:lvl>
      <w:numFmt w:val="bullet"/>
      <w:suff w:val="tab"/>
      <w:lvlText w:val="￮"/>
      <w:rPr>
        <w:color w:val="3370ff"/>
      </w:rPr>
    </w:lvl>
  </w:abstractNum>
  <w:abstractNum w:abstractNumId="1086780">
    <w:lvl>
      <w:numFmt w:val="bullet"/>
      <w:suff w:val="tab"/>
      <w:lvlText w:val="•"/>
      <w:rPr>
        <w:color w:val="3370ff"/>
      </w:rPr>
    </w:lvl>
  </w:abstractNum>
  <w:abstractNum w:abstractNumId="1086781">
    <w:lvl>
      <w:numFmt w:val="bullet"/>
      <w:suff w:val="tab"/>
      <w:lvlText w:val="•"/>
      <w:rPr>
        <w:color w:val="3370ff"/>
      </w:rPr>
    </w:lvl>
  </w:abstractNum>
  <w:abstractNum w:abstractNumId="1086782">
    <w:lvl>
      <w:numFmt w:val="bullet"/>
      <w:suff w:val="tab"/>
      <w:lvlText w:val="•"/>
      <w:rPr>
        <w:color w:val="3370ff"/>
      </w:rPr>
    </w:lvl>
  </w:abstractNum>
  <w:abstractNum w:abstractNumId="1086783">
    <w:lvl>
      <w:numFmt w:val="bullet"/>
      <w:suff w:val="tab"/>
      <w:lvlText w:val="•"/>
      <w:rPr>
        <w:color w:val="3370ff"/>
      </w:rPr>
    </w:lvl>
  </w:abstractNum>
  <w:abstractNum w:abstractNumId="1086784">
    <w:lvl>
      <w:numFmt w:val="bullet"/>
      <w:suff w:val="tab"/>
      <w:lvlText w:val="•"/>
      <w:rPr>
        <w:color w:val="3370ff"/>
      </w:rPr>
    </w:lvl>
  </w:abstractNum>
  <w:abstractNum w:abstractNumId="1086785">
    <w:lvl>
      <w:numFmt w:val="bullet"/>
      <w:suff w:val="tab"/>
      <w:lvlText w:val="•"/>
      <w:rPr>
        <w:color w:val="3370ff"/>
      </w:rPr>
    </w:lvl>
  </w:abstractNum>
  <w:abstractNum w:abstractNumId="1086786">
    <w:lvl>
      <w:numFmt w:val="bullet"/>
      <w:suff w:val="tab"/>
      <w:lvlText w:val="•"/>
      <w:rPr>
        <w:color w:val="3370ff"/>
      </w:rPr>
    </w:lvl>
  </w:abstractNum>
  <w:abstractNum w:abstractNumId="1086787">
    <w:lvl>
      <w:start w:val="1"/>
      <w:numFmt w:val="decimal"/>
      <w:suff w:val="tab"/>
      <w:lvlText w:val="%1."/>
      <w:rPr>
        <w:color w:val="3370ff"/>
      </w:rPr>
    </w:lvl>
  </w:abstractNum>
  <w:abstractNum w:abstractNumId="1086788">
    <w:lvl>
      <w:start w:val="2"/>
      <w:numFmt w:val="decimal"/>
      <w:suff w:val="tab"/>
      <w:lvlText w:val="%1."/>
      <w:rPr>
        <w:color w:val="3370ff"/>
      </w:rPr>
    </w:lvl>
  </w:abstractNum>
  <w:abstractNum w:abstractNumId="1086789">
    <w:lvl>
      <w:numFmt w:val="bullet"/>
      <w:suff w:val="tab"/>
      <w:lvlText w:val="￮"/>
      <w:rPr>
        <w:color w:val="3370ff"/>
      </w:rPr>
    </w:lvl>
  </w:abstractNum>
  <w:abstractNum w:abstractNumId="1086790">
    <w:lvl>
      <w:numFmt w:val="bullet"/>
      <w:suff w:val="tab"/>
      <w:lvlText w:val="￮"/>
      <w:rPr>
        <w:color w:val="3370ff"/>
      </w:rPr>
    </w:lvl>
  </w:abstractNum>
  <w:abstractNum w:abstractNumId="1086791">
    <w:lvl>
      <w:numFmt w:val="bullet"/>
      <w:suff w:val="tab"/>
      <w:lvlText w:val="￮"/>
      <w:rPr>
        <w:color w:val="3370ff"/>
      </w:rPr>
    </w:lvl>
  </w:abstractNum>
  <w:abstractNum w:abstractNumId="1086792">
    <w:lvl>
      <w:numFmt w:val="bullet"/>
      <w:suff w:val="tab"/>
      <w:lvlText w:val="￮"/>
      <w:rPr>
        <w:color w:val="3370ff"/>
      </w:rPr>
    </w:lvl>
  </w:abstractNum>
  <w:abstractNum w:abstractNumId="1086793">
    <w:lvl>
      <w:numFmt w:val="bullet"/>
      <w:suff w:val="tab"/>
      <w:lvlText w:val="￮"/>
      <w:rPr>
        <w:color w:val="3370ff"/>
      </w:rPr>
    </w:lvl>
  </w:abstractNum>
  <w:num w:numId="1">
    <w:abstractNumId w:val="1086724"/>
  </w:num>
  <w:num w:numId="2">
    <w:abstractNumId w:val="1086725"/>
  </w:num>
  <w:num w:numId="3">
    <w:abstractNumId w:val="1086726"/>
  </w:num>
  <w:num w:numId="4">
    <w:abstractNumId w:val="1086727"/>
  </w:num>
  <w:num w:numId="5">
    <w:abstractNumId w:val="1086728"/>
  </w:num>
  <w:num w:numId="6">
    <w:abstractNumId w:val="1086729"/>
  </w:num>
  <w:num w:numId="7">
    <w:abstractNumId w:val="1086730"/>
  </w:num>
  <w:num w:numId="8">
    <w:abstractNumId w:val="1086731"/>
  </w:num>
  <w:num w:numId="9">
    <w:abstractNumId w:val="1086732"/>
  </w:num>
  <w:num w:numId="10">
    <w:abstractNumId w:val="1086733"/>
  </w:num>
  <w:num w:numId="11">
    <w:abstractNumId w:val="1086734"/>
  </w:num>
  <w:num w:numId="12">
    <w:abstractNumId w:val="1086735"/>
  </w:num>
  <w:num w:numId="13">
    <w:abstractNumId w:val="1086736"/>
  </w:num>
  <w:num w:numId="14">
    <w:abstractNumId w:val="1086737"/>
  </w:num>
  <w:num w:numId="15">
    <w:abstractNumId w:val="1086738"/>
  </w:num>
  <w:num w:numId="16">
    <w:abstractNumId w:val="1086739"/>
  </w:num>
  <w:num w:numId="17">
    <w:abstractNumId w:val="1086740"/>
  </w:num>
  <w:num w:numId="18">
    <w:abstractNumId w:val="1086741"/>
  </w:num>
  <w:num w:numId="19">
    <w:abstractNumId w:val="1086742"/>
  </w:num>
  <w:num w:numId="20">
    <w:abstractNumId w:val="1086743"/>
  </w:num>
  <w:num w:numId="21">
    <w:abstractNumId w:val="1086744"/>
  </w:num>
  <w:num w:numId="22">
    <w:abstractNumId w:val="1086745"/>
  </w:num>
  <w:num w:numId="23">
    <w:abstractNumId w:val="1086746"/>
  </w:num>
  <w:num w:numId="24">
    <w:abstractNumId w:val="1086747"/>
  </w:num>
  <w:num w:numId="25">
    <w:abstractNumId w:val="1086748"/>
  </w:num>
  <w:num w:numId="26">
    <w:abstractNumId w:val="1086749"/>
  </w:num>
  <w:num w:numId="27">
    <w:abstractNumId w:val="1086750"/>
  </w:num>
  <w:num w:numId="28">
    <w:abstractNumId w:val="1086751"/>
  </w:num>
  <w:num w:numId="29">
    <w:abstractNumId w:val="1086752"/>
  </w:num>
  <w:num w:numId="30">
    <w:abstractNumId w:val="1086753"/>
  </w:num>
  <w:num w:numId="31">
    <w:abstractNumId w:val="1086754"/>
  </w:num>
  <w:num w:numId="32">
    <w:abstractNumId w:val="1086755"/>
  </w:num>
  <w:num w:numId="33">
    <w:abstractNumId w:val="1086756"/>
  </w:num>
  <w:num w:numId="34">
    <w:abstractNumId w:val="1086757"/>
  </w:num>
  <w:num w:numId="35">
    <w:abstractNumId w:val="1086758"/>
  </w:num>
  <w:num w:numId="36">
    <w:abstractNumId w:val="1086759"/>
  </w:num>
  <w:num w:numId="37">
    <w:abstractNumId w:val="1086760"/>
  </w:num>
  <w:num w:numId="38">
    <w:abstractNumId w:val="1086761"/>
  </w:num>
  <w:num w:numId="39">
    <w:abstractNumId w:val="1086762"/>
  </w:num>
  <w:num w:numId="40">
    <w:abstractNumId w:val="1086763"/>
  </w:num>
  <w:num w:numId="41">
    <w:abstractNumId w:val="1086764"/>
  </w:num>
  <w:num w:numId="42">
    <w:abstractNumId w:val="1086765"/>
  </w:num>
  <w:num w:numId="43">
    <w:abstractNumId w:val="1086766"/>
  </w:num>
  <w:num w:numId="44">
    <w:abstractNumId w:val="1086767"/>
  </w:num>
  <w:num w:numId="45">
    <w:abstractNumId w:val="1086768"/>
  </w:num>
  <w:num w:numId="46">
    <w:abstractNumId w:val="1086769"/>
  </w:num>
  <w:num w:numId="47">
    <w:abstractNumId w:val="1086770"/>
  </w:num>
  <w:num w:numId="48">
    <w:abstractNumId w:val="1086771"/>
  </w:num>
  <w:num w:numId="49">
    <w:abstractNumId w:val="1086772"/>
  </w:num>
  <w:num w:numId="50">
    <w:abstractNumId w:val="1086773"/>
  </w:num>
  <w:num w:numId="51">
    <w:abstractNumId w:val="1086774"/>
  </w:num>
  <w:num w:numId="52">
    <w:abstractNumId w:val="1086775"/>
  </w:num>
  <w:num w:numId="53">
    <w:abstractNumId w:val="1086776"/>
  </w:num>
  <w:num w:numId="54">
    <w:abstractNumId w:val="1086777"/>
  </w:num>
  <w:num w:numId="55">
    <w:abstractNumId w:val="1086778"/>
  </w:num>
  <w:num w:numId="56">
    <w:abstractNumId w:val="1086779"/>
  </w:num>
  <w:num w:numId="57">
    <w:abstractNumId w:val="1086780"/>
  </w:num>
  <w:num w:numId="58">
    <w:abstractNumId w:val="1086781"/>
  </w:num>
  <w:num w:numId="59">
    <w:abstractNumId w:val="1086782"/>
  </w:num>
  <w:num w:numId="60">
    <w:abstractNumId w:val="1086783"/>
  </w:num>
  <w:num w:numId="61">
    <w:abstractNumId w:val="1086784"/>
  </w:num>
  <w:num w:numId="62">
    <w:abstractNumId w:val="1086785"/>
  </w:num>
  <w:num w:numId="63">
    <w:abstractNumId w:val="1086786"/>
  </w:num>
  <w:num w:numId="64">
    <w:abstractNumId w:val="1086787"/>
  </w:num>
  <w:num w:numId="65">
    <w:abstractNumId w:val="1086788"/>
  </w:num>
  <w:num w:numId="66">
    <w:abstractNumId w:val="1086789"/>
  </w:num>
  <w:num w:numId="67">
    <w:abstractNumId w:val="1086790"/>
  </w:num>
  <w:num w:numId="68">
    <w:abstractNumId w:val="1086791"/>
  </w:num>
  <w:num w:numId="69">
    <w:abstractNumId w:val="1086792"/>
  </w:num>
  <w:num w:numId="70">
    <w:abstractNumId w:val="10867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2026-05-30T02:44:25Z</dcterms:created>
  <dc:creator>Apache POI</dc:creator>
</cp:coreProperties>
</file>