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“14117行政令合规”测试案例及预期输出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为“14117号行政令合规”功能设计的三个详细测试案例，分别对应“红灯禁止”、“黄灯限制”和“绿灯放行”三种核心结论场景。案例基于同一家虚构的美国公司“GeneGuard生物科技公司”的不同业务线展开，以模拟复杂业务中的多重合规判断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 xml:space="preserve">测试案例一：向中国生物公司提供人类基因组数据（红灯场景） 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：GeneGuard 公司位于加州的“精准医疗事业部”，计划与中国上海的“华源生命科学有限公司”开展一项联合研究。根据协议，GeneGuard 需向华源生命提供10,000名美国志愿者的全基因组测序数据（WGS），用于分析特定基因标记与疾病关联性。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用户输入详情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数据清单 (Data Inventory)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用户以Excel格式上传，表头包括：</w:t>
      </w:r>
      <w:r>
        <w:rPr>
          <w:rFonts w:eastAsia="Consolas" w:ascii="Consolas" w:cs="Consolas" w:hAnsi="Consolas"/>
          <w:i w:val="true"/>
          <w:sz w:val="22"/>
          <w:shd w:fill="EFF0F1"/>
        </w:rPr>
        <w:t>数据项名称</w:t>
      </w:r>
      <w:r>
        <w:rPr>
          <w:rFonts w:eastAsia="等线" w:ascii="Arial" w:cs="Arial" w:hAnsi="Arial"/>
          <w:i w:val="true"/>
          <w:sz w:val="22"/>
        </w:rPr>
        <w:t xml:space="preserve">， </w:t>
      </w:r>
      <w:r>
        <w:rPr>
          <w:rFonts w:eastAsia="Consolas" w:ascii="Consolas" w:cs="Consolas" w:hAnsi="Consolas"/>
          <w:i w:val="true"/>
          <w:sz w:val="22"/>
          <w:shd w:fill="EFF0F1"/>
        </w:rPr>
        <w:t>内容描述</w:t>
      </w:r>
      <w:r>
        <w:rPr>
          <w:rFonts w:eastAsia="等线" w:ascii="Arial" w:cs="Arial" w:hAnsi="Arial"/>
          <w:i w:val="true"/>
          <w:sz w:val="22"/>
        </w:rPr>
        <w:t xml:space="preserve">， </w:t>
      </w:r>
      <w:r>
        <w:rPr>
          <w:rFonts w:eastAsia="Consolas" w:ascii="Consolas" w:cs="Consolas" w:hAnsi="Consolas"/>
          <w:i w:val="true"/>
          <w:sz w:val="22"/>
          <w:shd w:fill="EFF0F1"/>
        </w:rPr>
        <w:t>所属业务场景</w:t>
      </w:r>
      <w:r>
        <w:rPr>
          <w:rFonts w:eastAsia="等线" w:ascii="Arial" w:cs="Arial" w:hAnsi="Arial"/>
          <w:i w:val="true"/>
          <w:sz w:val="22"/>
        </w:rPr>
        <w:t xml:space="preserve">， </w:t>
      </w:r>
      <w:r>
        <w:rPr>
          <w:rFonts w:eastAsia="Consolas" w:ascii="Consolas" w:cs="Consolas" w:hAnsi="Consolas"/>
          <w:i w:val="true"/>
          <w:sz w:val="22"/>
          <w:shd w:fill="EFF0F1"/>
        </w:rPr>
        <w:t>是否个人信息</w:t>
      </w:r>
      <w:r>
        <w:rPr>
          <w:rFonts w:eastAsia="等线" w:ascii="Arial" w:cs="Arial" w:hAnsi="Arial"/>
          <w:i w:val="true"/>
          <w:sz w:val="22"/>
        </w:rPr>
        <w:t xml:space="preserve">， </w:t>
      </w:r>
      <w:r>
        <w:rPr>
          <w:rFonts w:eastAsia="Consolas" w:ascii="Consolas" w:cs="Consolas" w:hAnsi="Consolas"/>
          <w:i w:val="true"/>
          <w:sz w:val="22"/>
          <w:shd w:fill="EFF0F1"/>
        </w:rPr>
        <w:t>是否敏感个人信息</w:t>
      </w:r>
      <w:r>
        <w:rPr>
          <w:rFonts w:eastAsia="等线" w:ascii="Arial" w:cs="Arial" w:hAnsi="Arial"/>
          <w:i w:val="true"/>
          <w:sz w:val="22"/>
        </w:rPr>
        <w:t xml:space="preserve">， </w:t>
      </w:r>
      <w:r>
        <w:rPr>
          <w:rFonts w:eastAsia="Consolas" w:ascii="Consolas" w:cs="Consolas" w:hAnsi="Consolas"/>
          <w:i w:val="true"/>
          <w:sz w:val="22"/>
          <w:shd w:fill="EFF0F1"/>
        </w:rPr>
        <w:t>数据主体数量（美国人）</w:t>
      </w:r>
      <w:r>
        <w:rPr>
          <w:rFonts w:eastAsia="等线" w:ascii="Arial" w:cs="Arial" w:hAnsi="Arial"/>
          <w:i w:val="true"/>
          <w:sz w:val="22"/>
        </w:rPr>
        <w:t xml:space="preserve">， </w:t>
      </w:r>
      <w:r>
        <w:rPr>
          <w:rFonts w:eastAsia="Consolas" w:ascii="Consolas" w:cs="Consolas" w:hAnsi="Consolas"/>
          <w:i w:val="true"/>
          <w:sz w:val="22"/>
          <w:shd w:fill="EFF0F1"/>
        </w:rPr>
        <w:t>出境必要性说明</w:t>
      </w:r>
      <w:r>
        <w:rPr>
          <w:rFonts w:eastAsia="等线" w:ascii="Arial" w:cs="Arial" w:hAnsi="Arial"/>
          <w:i w:val="true"/>
          <w:sz w:val="22"/>
        </w:rPr>
        <w:t xml:space="preserve">， </w:t>
      </w:r>
      <w:r>
        <w:rPr>
          <w:rFonts w:eastAsia="Consolas" w:ascii="Consolas" w:cs="Consolas" w:hAnsi="Consolas"/>
          <w:i w:val="true"/>
          <w:sz w:val="22"/>
          <w:shd w:fill="EFF0F1"/>
        </w:rPr>
        <w:t>示例</w:t>
      </w:r>
      <w:r>
        <w:rPr>
          <w:rFonts w:eastAsia="等线" w:ascii="Arial" w:cs="Arial" w:hAnsi="Arial"/>
          <w:i w:val="true"/>
          <w:sz w:val="22"/>
        </w:rPr>
        <w:t>。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实体清单 (Entity List)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用户上传</w:t>
      </w:r>
      <w:r>
        <w:rPr>
          <w:rFonts w:eastAsia="Consolas" w:ascii="Consolas" w:cs="Consolas" w:hAnsi="Consolas"/>
          <w:i w:val="true"/>
          <w:sz w:val="22"/>
          <w:shd w:fill="EFF0F1"/>
        </w:rPr>
        <w:t>外部实体清单.csv</w:t>
      </w:r>
      <w:r>
        <w:rPr>
          <w:rFonts w:eastAsia="等线" w:ascii="Arial" w:cs="Arial" w:hAnsi="Arial"/>
          <w:i w:val="true"/>
          <w:sz w:val="22"/>
        </w:rPr>
        <w:t>，包含字段：</w:t>
      </w:r>
      <w:r>
        <w:rPr>
          <w:rFonts w:eastAsia="Consolas" w:ascii="Consolas" w:cs="Consolas" w:hAnsi="Consolas"/>
          <w:i w:val="true"/>
          <w:sz w:val="22"/>
          <w:shd w:fill="EFF0F1"/>
        </w:rPr>
        <w:t>实体全称</w:t>
      </w:r>
      <w:r>
        <w:rPr>
          <w:rFonts w:eastAsia="等线" w:ascii="Arial" w:cs="Arial" w:hAnsi="Arial"/>
          <w:i w:val="true"/>
          <w:sz w:val="22"/>
        </w:rPr>
        <w:t xml:space="preserve">， </w:t>
      </w:r>
      <w:r>
        <w:rPr>
          <w:rFonts w:eastAsia="Consolas" w:ascii="Consolas" w:cs="Consolas" w:hAnsi="Consolas"/>
          <w:i w:val="true"/>
          <w:sz w:val="22"/>
          <w:shd w:fill="EFF0F1"/>
        </w:rPr>
        <w:t>注册国家/地区</w:t>
      </w:r>
      <w:r>
        <w:rPr>
          <w:rFonts w:eastAsia="等线" w:ascii="Arial" w:cs="Arial" w:hAnsi="Arial"/>
          <w:i w:val="true"/>
          <w:sz w:val="22"/>
        </w:rPr>
        <w:t xml:space="preserve">， </w:t>
      </w:r>
      <w:r>
        <w:rPr>
          <w:rFonts w:eastAsia="Consolas" w:ascii="Consolas" w:cs="Consolas" w:hAnsi="Consolas"/>
          <w:i w:val="true"/>
          <w:sz w:val="22"/>
          <w:shd w:fill="EFF0F1"/>
        </w:rPr>
        <w:t>统一社会信用代码/税号</w:t>
      </w:r>
      <w:r>
        <w:rPr>
          <w:rFonts w:eastAsia="等线" w:ascii="Arial" w:cs="Arial" w:hAnsi="Arial"/>
          <w:i w:val="true"/>
          <w:sz w:val="22"/>
        </w:rPr>
        <w:t xml:space="preserve">， </w:t>
      </w:r>
      <w:r>
        <w:rPr>
          <w:rFonts w:eastAsia="Consolas" w:ascii="Consolas" w:cs="Consolas" w:hAnsi="Consolas"/>
          <w:i w:val="true"/>
          <w:sz w:val="22"/>
          <w:shd w:fill="EFF0F1"/>
        </w:rPr>
        <w:t>股权结构说明</w:t>
      </w:r>
      <w:r>
        <w:rPr>
          <w:rFonts w:eastAsia="等线" w:ascii="Arial" w:cs="Arial" w:hAnsi="Arial"/>
          <w:i w:val="true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实体全称,注册国家/地区,统一社会信用代码/税号,股权结构说明</w:t>
              <w:br/>
            </w:r>
            <w:r>
              <w:rPr>
                <w:rFonts w:eastAsia="Consolas" w:ascii="Consolas" w:cs="Consolas" w:hAnsi="Consolas"/>
                <w:sz w:val="22"/>
              </w:rPr>
              <w:t>华源生命科学有限公司,中国（上海）,91310115MA7FXXXXXX,由中国国资背景的“华康集团”100%控股。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植入的风险点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数据类别</w:t>
      </w:r>
      <w:r>
        <w:rPr>
          <w:rFonts w:eastAsia="等线" w:ascii="Arial" w:cs="Arial" w:hAnsi="Arial"/>
          <w:sz w:val="22"/>
        </w:rPr>
        <w:t xml:space="preserve">：传输“全基因组测序原始数据”，明确属于DOJ最终规则定义的 </w:t>
      </w:r>
      <w:r>
        <w:rPr>
          <w:rFonts w:eastAsia="等线" w:ascii="Arial" w:cs="Arial" w:hAnsi="Arial"/>
          <w:b w:val="true"/>
          <w:sz w:val="22"/>
        </w:rPr>
        <w:t>“人类组学数据”</w:t>
      </w:r>
      <w:r>
        <w:rPr>
          <w:rFonts w:eastAsia="等线" w:ascii="Arial" w:cs="Arial" w:hAnsi="Arial"/>
          <w:sz w:val="22"/>
        </w:rPr>
        <w:t xml:space="preserve"> (§ 100.1)。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数据主体数量</w:t>
      </w:r>
      <w:r>
        <w:rPr>
          <w:rFonts w:eastAsia="等线" w:ascii="Arial" w:cs="Arial" w:hAnsi="Arial"/>
          <w:sz w:val="22"/>
        </w:rPr>
        <w:t xml:space="preserve">：涉及 </w:t>
      </w:r>
      <w:r>
        <w:rPr>
          <w:rFonts w:eastAsia="等线" w:ascii="Arial" w:cs="Arial" w:hAnsi="Arial"/>
          <w:b w:val="true"/>
          <w:sz w:val="22"/>
        </w:rPr>
        <w:t>10,000名美国人</w:t>
      </w:r>
      <w:r>
        <w:rPr>
          <w:rFonts w:eastAsia="等线" w:ascii="Arial" w:cs="Arial" w:hAnsi="Arial"/>
          <w:sz w:val="22"/>
        </w:rPr>
        <w:t xml:space="preserve">，远超“人类组学数据”的 </w:t>
      </w:r>
      <w:r>
        <w:rPr>
          <w:rFonts w:eastAsia="等线" w:ascii="Arial" w:cs="Arial" w:hAnsi="Arial"/>
          <w:b w:val="true"/>
          <w:sz w:val="22"/>
        </w:rPr>
        <w:t>100人</w:t>
      </w:r>
      <w:r>
        <w:rPr>
          <w:rFonts w:eastAsia="等线" w:ascii="Arial" w:cs="Arial" w:hAnsi="Arial"/>
          <w:sz w:val="22"/>
        </w:rPr>
        <w:t xml:space="preserve"> 的“批量”阈值 (§ 100.1)。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接收方实体性质</w:t>
      </w:r>
      <w:r>
        <w:rPr>
          <w:rFonts w:eastAsia="等线" w:ascii="Arial" w:cs="Arial" w:hAnsi="Arial"/>
          <w:sz w:val="22"/>
        </w:rPr>
        <w:t xml:space="preserve">：“华源生命科学有限公司”注册在中国，且由中国国资控股，属于 </w:t>
      </w:r>
      <w:r>
        <w:rPr>
          <w:rFonts w:eastAsia="等线" w:ascii="Arial" w:cs="Arial" w:hAnsi="Arial"/>
          <w:b w:val="true"/>
          <w:sz w:val="22"/>
        </w:rPr>
        <w:t>“受关注国家”</w:t>
      </w:r>
      <w:r>
        <w:rPr>
          <w:rFonts w:eastAsia="等线" w:ascii="Arial" w:cs="Arial" w:hAnsi="Arial"/>
          <w:sz w:val="22"/>
        </w:rPr>
        <w:t xml:space="preserve"> 的实体，并且其股权结构使其被认定为 </w:t>
      </w:r>
      <w:r>
        <w:rPr>
          <w:rFonts w:eastAsia="等线" w:ascii="Arial" w:cs="Arial" w:hAnsi="Arial"/>
          <w:b w:val="true"/>
          <w:sz w:val="22"/>
        </w:rPr>
        <w:t>“被涵盖人员”</w:t>
      </w:r>
      <w:r>
        <w:rPr>
          <w:rFonts w:eastAsia="等线" w:ascii="Arial" w:cs="Arial" w:hAnsi="Arial"/>
          <w:sz w:val="22"/>
        </w:rPr>
        <w:t xml:space="preserve"> (§ 100.1)。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交易性质</w:t>
      </w:r>
      <w:r>
        <w:rPr>
          <w:rFonts w:eastAsia="等线" w:ascii="Arial" w:cs="Arial" w:hAnsi="Arial"/>
          <w:sz w:val="22"/>
        </w:rPr>
        <w:t>：此交易属于“供应商协议”或“合作研发协议”下提供数据，是DOJ规则规制的交易类型。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预期输出（《14117行政令风险评估结论报告》）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总体结论与传输可行性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🚨 红灯（禁止传输）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结论依据</w:t>
      </w:r>
      <w:r>
        <w:rPr>
          <w:rFonts w:eastAsia="等线" w:ascii="Arial" w:cs="Arial" w:hAnsi="Arial"/>
          <w:sz w:val="22"/>
        </w:rPr>
        <w:t>：计划向“被涵盖人员”（中国控股的华源生命）传输“批量敏感个人数据”（超过100名美国人的基因组数据）。此类交易属于§ 100.2定义的潜在禁止范畴，且难以通过安全措施缓解，因为基因组数据具有极高的敏感性和不可逆的识别性。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风险详情与分析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高风险实体清单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华源生命科学有限公司</w:t>
      </w:r>
      <w:r>
        <w:rPr>
          <w:rFonts w:eastAsia="等线" w:ascii="Arial" w:cs="Arial" w:hAnsi="Arial"/>
          <w:sz w:val="22"/>
        </w:rPr>
        <w:t>。判定依据：1) 注册在“受关注国家”（中国）；2) 股权结构显示由“华康集团”100%控股，该公司极可能被认定为“被涵盖人员”。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敏感数据分布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</w:pPr>
      <w:r>
        <w:object>
          <v:shape id="_x0000_i1026" style="width:414pt;height:7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453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风险匹配矩阵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</w:pPr>
      <w:r>
        <w:object>
          <v:shape id="_x0000_i1027" style="width:414pt;height:39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453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合规措施建议与行动清单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首要建议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立即停止并重新设计该数据传输项目。</w:t>
      </w:r>
      <w:r>
        <w:rPr>
          <w:rFonts w:eastAsia="等线" w:ascii="Arial" w:cs="Arial" w:hAnsi="Arial"/>
          <w:sz w:val="22"/>
        </w:rPr>
        <w:t xml:space="preserve"> 考虑替代方案，如：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境内分析</w:t>
      </w:r>
      <w:r>
        <w:rPr>
          <w:rFonts w:eastAsia="等线" w:ascii="Arial" w:cs="Arial" w:hAnsi="Arial"/>
          <w:sz w:val="22"/>
        </w:rPr>
        <w:t>：邀请合作方研究人员在GeneGuard美国境内的安全计算环境中进行“数据不动，算法动”的分析。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数据脱敏</w:t>
      </w:r>
      <w:r>
        <w:rPr>
          <w:rFonts w:eastAsia="等线" w:ascii="Arial" w:cs="Arial" w:hAnsi="Arial"/>
          <w:sz w:val="22"/>
        </w:rPr>
        <w:t>：仅传输经过严格处理、无法重识别个体的聚合统计分析结果，而非原始序列数据。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更换合作伙伴</w:t>
      </w:r>
      <w:r>
        <w:rPr>
          <w:rFonts w:eastAsia="等线" w:ascii="Arial" w:cs="Arial" w:hAnsi="Arial"/>
          <w:sz w:val="22"/>
        </w:rPr>
        <w:t>：寻求与非“受关注国家”的实体合作。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法务审查</w:t>
      </w:r>
      <w:r>
        <w:rPr>
          <w:rFonts w:eastAsia="等线" w:ascii="Arial" w:cs="Arial" w:hAnsi="Arial"/>
          <w:sz w:val="22"/>
        </w:rPr>
        <w:t>：建议公司法务团队结合DOJ最终规则§ 100.4的豁免条款（如特定医疗研究豁免）评估本项目是否完全无豁免可能，但可能性极低。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 xml:space="preserve">测试案例二：向中国AI公司提供位置数据进行算法训练（黄灯场景） 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：GeneGuard 公司的“健康地理分析部”开发了一款APP，用于研究环境因素对健康的影响。该部门计划与北京的“深度洞察人工智能有限公司”合作，向后者提供匿名化的用户位置轨迹数据，用于优化其AI预测模型。数据通过“供应商协议”提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用户输入详情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数据清单</w:t>
      </w:r>
      <w:r>
        <w:rPr>
          <w:rFonts w:eastAsia="等线" w:ascii="Arial" w:cs="Arial" w:hAnsi="Arial"/>
          <w:sz w:val="22"/>
        </w:rPr>
        <w:t xml:space="preserve"> (节选关键行)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实体清单</w:t>
      </w:r>
      <w:r>
        <w:rPr>
          <w:rFonts w:eastAsia="等线" w:ascii="Arial" w:cs="Arial" w:hAnsi="Arial"/>
          <w:sz w:val="22"/>
        </w:rPr>
        <w:t xml:space="preserve"> (外部)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实体全称,注册国家/地区,税号,股权结构说明</w:t>
              <w:br/>
            </w:r>
            <w:r>
              <w:rPr>
                <w:rFonts w:eastAsia="Consolas" w:ascii="Consolas" w:cs="Consolas" w:hAnsi="Consolas"/>
                <w:sz w:val="22"/>
              </w:rPr>
              <w:t>深度洞察人工智能有限公司,中国（北京）,91110108MA0XXXXXX,创始人团队控股（均为中国籍），但接受过中国国家人工智能发展基金的投资。</w:t>
            </w:r>
          </w:p>
        </w:tc>
      </w:tr>
    </w:tbl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(内部员工清单 - 因合作需要，深度洞察公司有2名数据科学家被授予了访问GeneGuard测试环境的权限)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员工姓名,国籍,所属部门,岗位</w:t>
              <w:br/>
              <w:t>张伟,中国,算法研发部,高级数据科学家</w:t>
              <w:br/>
            </w:r>
            <w:r>
              <w:rPr>
                <w:rFonts w:eastAsia="Consolas" w:ascii="Consolas" w:cs="Consolas" w:hAnsi="Consolas"/>
                <w:sz w:val="22"/>
              </w:rPr>
              <w:t>王芳,中国,算法研发部,数据科学家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植入的风险点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数据类别与数量</w:t>
      </w:r>
      <w:r>
        <w:rPr>
          <w:rFonts w:eastAsia="等线" w:ascii="Arial" w:cs="Arial" w:hAnsi="Arial"/>
          <w:sz w:val="22"/>
        </w:rPr>
        <w:t xml:space="preserve">：“精确地理位置数据”涉及 </w:t>
      </w:r>
      <w:r>
        <w:rPr>
          <w:rFonts w:eastAsia="等线" w:ascii="Arial" w:cs="Arial" w:hAnsi="Arial"/>
          <w:b w:val="true"/>
          <w:sz w:val="22"/>
        </w:rPr>
        <w:t>150,000名美国人</w:t>
      </w:r>
      <w:r>
        <w:rPr>
          <w:rFonts w:eastAsia="等线" w:ascii="Arial" w:cs="Arial" w:hAnsi="Arial"/>
          <w:sz w:val="22"/>
        </w:rPr>
        <w:t xml:space="preserve">，远超 </w:t>
      </w:r>
      <w:r>
        <w:rPr>
          <w:rFonts w:eastAsia="等线" w:ascii="Arial" w:cs="Arial" w:hAnsi="Arial"/>
          <w:b w:val="true"/>
          <w:sz w:val="22"/>
        </w:rPr>
        <w:t>1,000人</w:t>
      </w:r>
      <w:r>
        <w:rPr>
          <w:rFonts w:eastAsia="等线" w:ascii="Arial" w:cs="Arial" w:hAnsi="Arial"/>
          <w:sz w:val="22"/>
        </w:rPr>
        <w:t xml:space="preserve"> 的阈值，构成“批量敏感个人数据”。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接收方</w:t>
      </w:r>
      <w:r>
        <w:rPr>
          <w:rFonts w:eastAsia="等线" w:ascii="Arial" w:cs="Arial" w:hAnsi="Arial"/>
          <w:sz w:val="22"/>
        </w:rPr>
        <w:t xml:space="preserve">：“深度洞察”公司注册在中国，且接受中国国家基金投资，很可能被认定为 </w:t>
      </w:r>
      <w:r>
        <w:rPr>
          <w:rFonts w:eastAsia="等线" w:ascii="Arial" w:cs="Arial" w:hAnsi="Arial"/>
          <w:b w:val="true"/>
          <w:sz w:val="22"/>
        </w:rPr>
        <w:t>“被涵盖人员”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交易性质</w:t>
      </w:r>
      <w:r>
        <w:rPr>
          <w:rFonts w:eastAsia="等线" w:ascii="Arial" w:cs="Arial" w:hAnsi="Arial"/>
          <w:sz w:val="22"/>
        </w:rPr>
        <w:t xml:space="preserve">：基于“供应商协议”的数据提供，属于§ 100.3规定的 </w:t>
      </w:r>
      <w:r>
        <w:rPr>
          <w:rFonts w:eastAsia="等线" w:ascii="Arial" w:cs="Arial" w:hAnsi="Arial"/>
          <w:b w:val="true"/>
          <w:sz w:val="22"/>
        </w:rPr>
        <w:t>“限制性交易”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内部人员风险</w:t>
      </w:r>
      <w:r>
        <w:rPr>
          <w:rFonts w:eastAsia="等线" w:ascii="Arial" w:cs="Arial" w:hAnsi="Arial"/>
          <w:sz w:val="22"/>
        </w:rPr>
        <w:t xml:space="preserve">：合作方的两名中国籍员工能够访问数据，他们作为“主要居住在受关注国家”的个人，本身也可能被视为 </w:t>
      </w:r>
      <w:r>
        <w:rPr>
          <w:rFonts w:eastAsia="等线" w:ascii="Arial" w:cs="Arial" w:hAnsi="Arial"/>
          <w:b w:val="true"/>
          <w:sz w:val="22"/>
        </w:rPr>
        <w:t>“被涵盖的人”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总体结论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🟨 黄灯（需采取安全措施）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结论依据</w:t>
      </w:r>
      <w:r>
        <w:rPr>
          <w:rFonts w:eastAsia="等线" w:ascii="Arial" w:cs="Arial" w:hAnsi="Arial"/>
          <w:sz w:val="22"/>
        </w:rPr>
        <w:t>：向“被涵盖人员”传输“批量敏感个人数据”（精确地理位置数据），交易属于“限制性交易”。在未实施DOJ要求的安全措施前，不得进行。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风险详情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高风险实体清单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深度洞察人工智能有限公司</w:t>
      </w:r>
      <w:r>
        <w:rPr>
          <w:rFonts w:eastAsia="等线" w:ascii="Arial" w:cs="Arial" w:hAnsi="Arial"/>
          <w:sz w:val="22"/>
        </w:rPr>
        <w:t>（外部实体）。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张伟、王芳</w:t>
      </w:r>
      <w:r>
        <w:rPr>
          <w:rFonts w:eastAsia="等线" w:ascii="Arial" w:cs="Arial" w:hAnsi="Arial"/>
          <w:sz w:val="22"/>
        </w:rPr>
        <w:t>（内部员工，被识别为潜在“被涵盖的人”，因其国籍和常驻地）。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敏感数据分布</w:t>
      </w:r>
      <w:r>
        <w:rPr>
          <w:rFonts w:eastAsia="等线" w:ascii="Arial" w:cs="Arial" w:hAnsi="Arial"/>
          <w:sz w:val="22"/>
        </w:rPr>
        <w:t>：突出显示“精确地理位置数据”超阈值。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风险匹配矩阵</w:t>
      </w:r>
      <w:r>
        <w:rPr>
          <w:rFonts w:eastAsia="等线" w:ascii="Arial" w:cs="Arial" w:hAnsi="Arial"/>
          <w:sz w:val="22"/>
        </w:rPr>
        <w:t>：显示“深度洞察”及“其员工”与“精确地理位置数据”的高风险匹配。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合规措施建议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必须实施的安全措施</w:t>
      </w:r>
      <w:r>
        <w:rPr>
          <w:rFonts w:eastAsia="等线" w:ascii="Arial" w:cs="Arial" w:hAnsi="Arial"/>
          <w:sz w:val="22"/>
        </w:rPr>
        <w:t>（参考§ 100.3）：</w:t>
      </w:r>
    </w:p>
    <w:p>
      <w:pPr>
        <w:numPr>
          <w:numId w:val="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逻辑隔离与访问控制</w:t>
      </w:r>
      <w:r>
        <w:rPr>
          <w:rFonts w:eastAsia="等线" w:ascii="Arial" w:cs="Arial" w:hAnsi="Arial"/>
          <w:sz w:val="22"/>
        </w:rPr>
        <w:t>：在GeneGuard的云环境中为深度洞察创建独立、隔离的工作区。访问需多因素认证，并遵循最小权限原则。两名中国籍员工的访问权限需特别审查和记录。</w:t>
      </w:r>
    </w:p>
    <w:p>
      <w:pPr>
        <w:numPr>
          <w:numId w:val="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数据脱敏与聚合</w:t>
      </w:r>
      <w:r>
        <w:rPr>
          <w:rFonts w:eastAsia="等线" w:ascii="Arial" w:cs="Arial" w:hAnsi="Arial"/>
          <w:sz w:val="22"/>
        </w:rPr>
        <w:t>：在提供训练数据前，对地理位置数据进行地理掩码（如降低至百米精度）、轨迹泛化等处理，减少可识别性。</w:t>
      </w:r>
    </w:p>
    <w:p>
      <w:pPr>
        <w:numPr>
          <w:numId w:val="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全面活动日志</w:t>
      </w:r>
      <w:r>
        <w:rPr>
          <w:rFonts w:eastAsia="等线" w:ascii="Arial" w:cs="Arial" w:hAnsi="Arial"/>
          <w:sz w:val="22"/>
        </w:rPr>
        <w:t>：记录所有对数据的访问、查询、导出操作，包括用户、时间、操作类型、数据范围，日志至少保存6年。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员工培训与协议</w:t>
      </w:r>
      <w:r>
        <w:rPr>
          <w:rFonts w:eastAsia="等线" w:ascii="Arial" w:cs="Arial" w:hAnsi="Arial"/>
          <w:sz w:val="22"/>
        </w:rPr>
        <w:t>：要求深度洞察的涉事员工签署额外的保密和数据安全协议，并完成14117法规合规培训。</w:t>
      </w:r>
    </w:p>
    <w:p>
      <w:pPr>
        <w:numPr>
          <w:numId w:val="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定期审计</w:t>
      </w:r>
      <w:r>
        <w:rPr>
          <w:rFonts w:eastAsia="等线" w:ascii="Arial" w:cs="Arial" w:hAnsi="Arial"/>
          <w:sz w:val="22"/>
        </w:rPr>
        <w:t>：GeneGuard有权（或委托第三方）每季度对数据访问和使用情况进行安全审计。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行动清单</w:t>
      </w:r>
      <w:r>
        <w:rPr>
          <w:rFonts w:eastAsia="等线" w:ascii="Arial" w:cs="Arial" w:hAnsi="Arial"/>
          <w:sz w:val="22"/>
        </w:rPr>
        <w:t>：1. 修订供应商协议，纳入上述安全措施作为合同义务；2. 在90天内完成技术平台改造以实现数据隔离和日志记录；3. 开展首次合规培训。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 xml:space="preserve">测试案例三：向英国公司提供设备运行数据（绿灯场景） 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：GeneGuard 的“设备制造事业部”位于德克萨斯州，其生产的基因测序仪销往全球。该部门计划与英国的“剑桥实验室设备有限公司”共享其设备的运行遥测数据，用于预测性维护和产品改进。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用户输入详情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数据清单</w:t>
      </w:r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实体清单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实体全称,注册国家/地区,税号,股权结构说明</w:t>
              <w:br/>
            </w:r>
            <w:r>
              <w:rPr>
                <w:rFonts w:eastAsia="Consolas" w:ascii="Consolas" w:cs="Consolas" w:hAnsi="Consolas"/>
                <w:sz w:val="22"/>
              </w:rPr>
              <w:t>剑桥实验室设备有限公司,英国（英格兰）,GB123456789,私人控股，无受关注国家投资。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植入的风险点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看似敏感的数据</w:t>
      </w:r>
      <w:r>
        <w:rPr>
          <w:rFonts w:eastAsia="等线" w:ascii="Arial" w:cs="Arial" w:hAnsi="Arial"/>
          <w:sz w:val="22"/>
        </w:rPr>
        <w:t>：包含“地理位置”和“个人标识符”（邮箱）。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数据主体数量</w:t>
      </w:r>
      <w:r>
        <w:rPr>
          <w:rFonts w:eastAsia="等线" w:ascii="Arial" w:cs="Arial" w:hAnsi="Arial"/>
          <w:sz w:val="22"/>
        </w:rPr>
        <w:t>：邮箱涉及约5,000名美国人，但未达到“涵盖的个人标识符”100,000人的阈值。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地理位置精度</w:t>
      </w:r>
      <w:r>
        <w:rPr>
          <w:rFonts w:eastAsia="等线" w:ascii="Arial" w:cs="Arial" w:hAnsi="Arial"/>
          <w:sz w:val="22"/>
        </w:rPr>
        <w:t>：仅为“城市级”，不符合“精确地理位置数据”（如GPS坐标）的定义。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接收方</w:t>
      </w:r>
      <w:r>
        <w:rPr>
          <w:rFonts w:eastAsia="等线" w:ascii="Arial" w:cs="Arial" w:hAnsi="Arial"/>
          <w:sz w:val="22"/>
        </w:rPr>
        <w:t>：英国是</w:t>
      </w:r>
      <w:r>
        <w:rPr>
          <w:rFonts w:eastAsia="等线" w:ascii="Arial" w:cs="Arial" w:hAnsi="Arial"/>
          <w:b w:val="true"/>
          <w:sz w:val="22"/>
        </w:rPr>
        <w:t>非受关注国家</w:t>
      </w:r>
      <w:r>
        <w:rPr>
          <w:rFonts w:eastAsia="等线" w:ascii="Arial" w:cs="Arial" w:hAnsi="Arial"/>
          <w:sz w:val="22"/>
        </w:rPr>
        <w:t>，且该公司股权结构清晰，</w:t>
      </w:r>
      <w:r>
        <w:rPr>
          <w:rFonts w:eastAsia="等线" w:ascii="Arial" w:cs="Arial" w:hAnsi="Arial"/>
          <w:b w:val="true"/>
          <w:sz w:val="22"/>
        </w:rPr>
        <w:t>非“被涵盖人员”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总体结论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🟢 绿灯（低风险放行）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结论依据</w:t>
      </w:r>
      <w:r>
        <w:rPr>
          <w:rFonts w:eastAsia="等线" w:ascii="Arial" w:cs="Arial" w:hAnsi="Arial"/>
          <w:sz w:val="22"/>
        </w:rPr>
        <w:t>：1) 数据接收方（英国公司）不在“受关注国家”清单，不属于“被涵盖人员”；2) 拟传输的数据中，个人邮箱数量未达“批量”阈值（10万），城市级地理位置信息不被认定为“精确地理位置数据”。因此，当前交易不直接触发14117行政令的禁止或限制性规定。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风险详情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高风险实体清单</w:t>
      </w:r>
      <w:r>
        <w:rPr>
          <w:rFonts w:eastAsia="等线" w:ascii="Arial" w:cs="Arial" w:hAnsi="Arial"/>
          <w:sz w:val="22"/>
        </w:rPr>
        <w:t>：无。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敏感数据分布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</w:pPr>
      <w:r>
        <w:object>
          <v:shape id="_x0000_i1030" style="width:414pt;height:112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453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风险匹配矩阵</w:t>
      </w:r>
      <w:r>
        <w:rPr>
          <w:rFonts w:eastAsia="等线" w:ascii="Arial" w:cs="Arial" w:hAnsi="Arial"/>
          <w:sz w:val="22"/>
        </w:rPr>
        <w:t>：不适用，因无高风险实体。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合规建议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一般性数据保护建议</w:t>
      </w:r>
      <w:r>
        <w:rPr>
          <w:rFonts w:eastAsia="等线" w:ascii="Arial" w:cs="Arial" w:hAnsi="Arial"/>
          <w:sz w:val="22"/>
        </w:rPr>
        <w:t>：建议仍遵循公司内部数据安全政策（如加密传输）和欧盟GDPR（如适用）处理这些数据。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持续监控</w:t>
      </w:r>
      <w:r>
        <w:rPr>
          <w:rFonts w:eastAsia="等线" w:ascii="Arial" w:cs="Arial" w:hAnsi="Arial"/>
          <w:sz w:val="22"/>
        </w:rPr>
        <w:t>：建议在合作协议中加入条款，要求“剑桥实验室”承诺不将数据转让给任何“受关注国家”的实体。并定期（如每年）审查其股权结构是否发生变化。</w:t>
      </w:r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31407">
    <w:lvl>
      <w:start w:val="1"/>
      <w:numFmt w:val="decimal"/>
      <w:suff w:val="tab"/>
      <w:lvlText w:val="%1."/>
      <w:rPr>
        <w:color w:val="3370ff"/>
      </w:rPr>
    </w:lvl>
  </w:abstractNum>
  <w:abstractNum w:abstractNumId="2131408">
    <w:lvl>
      <w:start w:val="2"/>
      <w:numFmt w:val="decimal"/>
      <w:suff w:val="tab"/>
      <w:lvlText w:val="%1."/>
      <w:rPr>
        <w:color w:val="3370ff"/>
      </w:rPr>
    </w:lvl>
  </w:abstractNum>
  <w:abstractNum w:abstractNumId="2131409">
    <w:lvl>
      <w:start w:val="1"/>
      <w:numFmt w:val="decimal"/>
      <w:suff w:val="tab"/>
      <w:lvlText w:val="%1."/>
      <w:rPr>
        <w:color w:val="3370ff"/>
      </w:rPr>
    </w:lvl>
  </w:abstractNum>
  <w:abstractNum w:abstractNumId="2131410">
    <w:lvl>
      <w:start w:val="2"/>
      <w:numFmt w:val="decimal"/>
      <w:suff w:val="tab"/>
      <w:lvlText w:val="%1."/>
      <w:rPr>
        <w:color w:val="3370ff"/>
      </w:rPr>
    </w:lvl>
  </w:abstractNum>
  <w:abstractNum w:abstractNumId="2131411">
    <w:lvl>
      <w:start w:val="1"/>
      <w:numFmt w:val="decimal"/>
      <w:suff w:val="tab"/>
      <w:lvlText w:val="%1."/>
      <w:rPr>
        <w:color w:val="3370ff"/>
      </w:rPr>
    </w:lvl>
  </w:abstractNum>
  <w:abstractNum w:abstractNumId="2131412">
    <w:lvl>
      <w:start w:val="2"/>
      <w:numFmt w:val="decimal"/>
      <w:suff w:val="tab"/>
      <w:lvlText w:val="%1."/>
      <w:rPr>
        <w:color w:val="3370ff"/>
      </w:rPr>
    </w:lvl>
  </w:abstractNum>
  <w:abstractNum w:abstractNumId="2131413">
    <w:lvl>
      <w:start w:val="3"/>
      <w:numFmt w:val="decimal"/>
      <w:suff w:val="tab"/>
      <w:lvlText w:val="%1."/>
      <w:rPr>
        <w:color w:val="3370ff"/>
      </w:rPr>
    </w:lvl>
  </w:abstractNum>
  <w:abstractNum w:abstractNumId="2131414">
    <w:lvl>
      <w:start w:val="4"/>
      <w:numFmt w:val="decimal"/>
      <w:suff w:val="tab"/>
      <w:lvlText w:val="%1."/>
      <w:rPr>
        <w:color w:val="3370ff"/>
      </w:rPr>
    </w:lvl>
  </w:abstractNum>
  <w:abstractNum w:abstractNumId="2131415">
    <w:lvl>
      <w:start w:val="1"/>
      <w:numFmt w:val="decimal"/>
      <w:suff w:val="tab"/>
      <w:lvlText w:val="%1."/>
      <w:rPr>
        <w:color w:val="3370ff"/>
      </w:rPr>
    </w:lvl>
  </w:abstractNum>
  <w:abstractNum w:abstractNumId="2131416">
    <w:lvl>
      <w:numFmt w:val="bullet"/>
      <w:suff w:val="tab"/>
      <w:lvlText w:val="￮"/>
      <w:rPr>
        <w:color w:val="3370ff"/>
      </w:rPr>
    </w:lvl>
  </w:abstractNum>
  <w:abstractNum w:abstractNumId="2131417">
    <w:lvl>
      <w:start w:val="2"/>
      <w:numFmt w:val="decimal"/>
      <w:suff w:val="tab"/>
      <w:lvlText w:val="%1."/>
      <w:rPr>
        <w:color w:val="3370ff"/>
      </w:rPr>
    </w:lvl>
  </w:abstractNum>
  <w:abstractNum w:abstractNumId="2131418">
    <w:lvl>
      <w:numFmt w:val="bullet"/>
      <w:suff w:val="tab"/>
      <w:lvlText w:val="￮"/>
      <w:rPr>
        <w:color w:val="3370ff"/>
      </w:rPr>
    </w:lvl>
  </w:abstractNum>
  <w:abstractNum w:abstractNumId="2131419">
    <w:lvl>
      <w:numFmt w:val="bullet"/>
      <w:suff w:val="tab"/>
      <w:lvlText w:val="▪"/>
      <w:rPr>
        <w:color w:val="3370ff"/>
        <w:sz w:val="11"/>
      </w:rPr>
    </w:lvl>
  </w:abstractNum>
  <w:abstractNum w:abstractNumId="2131420">
    <w:lvl>
      <w:numFmt w:val="bullet"/>
      <w:suff w:val="tab"/>
      <w:lvlText w:val="￮"/>
      <w:rPr>
        <w:color w:val="3370ff"/>
      </w:rPr>
    </w:lvl>
  </w:abstractNum>
  <w:abstractNum w:abstractNumId="2131421">
    <w:lvl>
      <w:numFmt w:val="bullet"/>
      <w:suff w:val="tab"/>
      <w:lvlText w:val="￮"/>
      <w:rPr>
        <w:color w:val="3370ff"/>
      </w:rPr>
    </w:lvl>
  </w:abstractNum>
  <w:abstractNum w:abstractNumId="2131422">
    <w:lvl>
      <w:start w:val="3"/>
      <w:numFmt w:val="decimal"/>
      <w:suff w:val="tab"/>
      <w:lvlText w:val="%1."/>
      <w:rPr>
        <w:color w:val="3370ff"/>
      </w:rPr>
    </w:lvl>
  </w:abstractNum>
  <w:abstractNum w:abstractNumId="2131423">
    <w:lvl>
      <w:numFmt w:val="bullet"/>
      <w:suff w:val="tab"/>
      <w:lvlText w:val="￮"/>
      <w:rPr>
        <w:color w:val="3370ff"/>
      </w:rPr>
    </w:lvl>
  </w:abstractNum>
  <w:abstractNum w:abstractNumId="2131424">
    <w:lvl>
      <w:start w:val="1"/>
      <w:numFmt w:val="lowerRoman"/>
      <w:suff w:val="tab"/>
      <w:lvlText w:val="%1."/>
      <w:rPr>
        <w:color w:val="3370ff"/>
      </w:rPr>
    </w:lvl>
  </w:abstractNum>
  <w:abstractNum w:abstractNumId="2131425">
    <w:lvl>
      <w:start w:val="2"/>
      <w:numFmt w:val="lowerRoman"/>
      <w:suff w:val="tab"/>
      <w:lvlText w:val="%1."/>
      <w:rPr>
        <w:color w:val="3370ff"/>
      </w:rPr>
    </w:lvl>
  </w:abstractNum>
  <w:abstractNum w:abstractNumId="2131426">
    <w:lvl>
      <w:start w:val="3"/>
      <w:numFmt w:val="lowerRoman"/>
      <w:suff w:val="tab"/>
      <w:lvlText w:val="%1."/>
      <w:rPr>
        <w:color w:val="3370ff"/>
      </w:rPr>
    </w:lvl>
  </w:abstractNum>
  <w:abstractNum w:abstractNumId="2131427">
    <w:lvl>
      <w:numFmt w:val="bullet"/>
      <w:suff w:val="tab"/>
      <w:lvlText w:val="￮"/>
      <w:rPr>
        <w:color w:val="3370ff"/>
      </w:rPr>
    </w:lvl>
  </w:abstractNum>
  <w:abstractNum w:abstractNumId="2131428">
    <w:lvl>
      <w:start w:val="1"/>
      <w:numFmt w:val="decimal"/>
      <w:suff w:val="tab"/>
      <w:lvlText w:val="%1."/>
      <w:rPr>
        <w:color w:val="3370ff"/>
      </w:rPr>
    </w:lvl>
  </w:abstractNum>
  <w:abstractNum w:abstractNumId="2131429">
    <w:lvl>
      <w:start w:val="1"/>
      <w:numFmt w:val="decimal"/>
      <w:suff w:val="tab"/>
      <w:lvlText w:val="%1."/>
      <w:rPr>
        <w:color w:val="3370ff"/>
      </w:rPr>
    </w:lvl>
  </w:abstractNum>
  <w:abstractNum w:abstractNumId="2131430">
    <w:lvl>
      <w:start w:val="1"/>
      <w:numFmt w:val="decimal"/>
      <w:suff w:val="tab"/>
      <w:lvlText w:val="%1."/>
      <w:rPr>
        <w:color w:val="3370ff"/>
      </w:rPr>
    </w:lvl>
  </w:abstractNum>
  <w:abstractNum w:abstractNumId="2131431">
    <w:lvl>
      <w:start w:val="1"/>
      <w:numFmt w:val="decimal"/>
      <w:suff w:val="tab"/>
      <w:lvlText w:val="%1."/>
      <w:rPr>
        <w:color w:val="3370ff"/>
      </w:rPr>
    </w:lvl>
  </w:abstractNum>
  <w:abstractNum w:abstractNumId="2131432">
    <w:lvl>
      <w:start w:val="2"/>
      <w:numFmt w:val="decimal"/>
      <w:suff w:val="tab"/>
      <w:lvlText w:val="%1."/>
      <w:rPr>
        <w:color w:val="3370ff"/>
      </w:rPr>
    </w:lvl>
  </w:abstractNum>
  <w:abstractNum w:abstractNumId="2131433">
    <w:lvl>
      <w:start w:val="3"/>
      <w:numFmt w:val="decimal"/>
      <w:suff w:val="tab"/>
      <w:lvlText w:val="%1."/>
      <w:rPr>
        <w:color w:val="3370ff"/>
      </w:rPr>
    </w:lvl>
  </w:abstractNum>
  <w:abstractNum w:abstractNumId="2131434">
    <w:lvl>
      <w:start w:val="4"/>
      <w:numFmt w:val="decimal"/>
      <w:suff w:val="tab"/>
      <w:lvlText w:val="%1."/>
      <w:rPr>
        <w:color w:val="3370ff"/>
      </w:rPr>
    </w:lvl>
  </w:abstractNum>
  <w:abstractNum w:abstractNumId="2131435">
    <w:lvl>
      <w:start w:val="1"/>
      <w:numFmt w:val="decimal"/>
      <w:suff w:val="tab"/>
      <w:lvlText w:val="%1."/>
      <w:rPr>
        <w:color w:val="3370ff"/>
      </w:rPr>
    </w:lvl>
  </w:abstractNum>
  <w:abstractNum w:abstractNumId="2131436">
    <w:lvl>
      <w:numFmt w:val="bullet"/>
      <w:suff w:val="tab"/>
      <w:lvlText w:val="￮"/>
      <w:rPr>
        <w:color w:val="3370ff"/>
      </w:rPr>
    </w:lvl>
  </w:abstractNum>
  <w:abstractNum w:abstractNumId="2131437">
    <w:lvl>
      <w:start w:val="2"/>
      <w:numFmt w:val="decimal"/>
      <w:suff w:val="tab"/>
      <w:lvlText w:val="%1."/>
      <w:rPr>
        <w:color w:val="3370ff"/>
      </w:rPr>
    </w:lvl>
  </w:abstractNum>
  <w:abstractNum w:abstractNumId="2131438">
    <w:lvl>
      <w:numFmt w:val="bullet"/>
      <w:suff w:val="tab"/>
      <w:lvlText w:val="￮"/>
      <w:rPr>
        <w:color w:val="3370ff"/>
      </w:rPr>
    </w:lvl>
  </w:abstractNum>
  <w:abstractNum w:abstractNumId="2131439">
    <w:lvl>
      <w:start w:val="1"/>
      <w:numFmt w:val="lowerRoman"/>
      <w:suff w:val="tab"/>
      <w:lvlText w:val="%1."/>
      <w:rPr>
        <w:color w:val="3370ff"/>
      </w:rPr>
    </w:lvl>
  </w:abstractNum>
  <w:abstractNum w:abstractNumId="2131440">
    <w:lvl>
      <w:start w:val="2"/>
      <w:numFmt w:val="lowerRoman"/>
      <w:suff w:val="tab"/>
      <w:lvlText w:val="%1."/>
      <w:rPr>
        <w:color w:val="3370ff"/>
      </w:rPr>
    </w:lvl>
  </w:abstractNum>
  <w:abstractNum w:abstractNumId="2131441">
    <w:lvl>
      <w:numFmt w:val="bullet"/>
      <w:suff w:val="tab"/>
      <w:lvlText w:val="￮"/>
      <w:rPr>
        <w:color w:val="3370ff"/>
      </w:rPr>
    </w:lvl>
  </w:abstractNum>
  <w:abstractNum w:abstractNumId="2131442">
    <w:lvl>
      <w:numFmt w:val="bullet"/>
      <w:suff w:val="tab"/>
      <w:lvlText w:val="￮"/>
      <w:rPr>
        <w:color w:val="3370ff"/>
      </w:rPr>
    </w:lvl>
  </w:abstractNum>
  <w:abstractNum w:abstractNumId="2131443">
    <w:lvl>
      <w:start w:val="3"/>
      <w:numFmt w:val="decimal"/>
      <w:suff w:val="tab"/>
      <w:lvlText w:val="%1."/>
      <w:rPr>
        <w:color w:val="3370ff"/>
      </w:rPr>
    </w:lvl>
  </w:abstractNum>
  <w:abstractNum w:abstractNumId="2131444">
    <w:lvl>
      <w:numFmt w:val="bullet"/>
      <w:suff w:val="tab"/>
      <w:lvlText w:val="￮"/>
      <w:rPr>
        <w:color w:val="3370ff"/>
      </w:rPr>
    </w:lvl>
  </w:abstractNum>
  <w:abstractNum w:abstractNumId="2131445">
    <w:lvl>
      <w:start w:val="1"/>
      <w:numFmt w:val="lowerRoman"/>
      <w:suff w:val="tab"/>
      <w:lvlText w:val="%1."/>
      <w:rPr>
        <w:color w:val="3370ff"/>
      </w:rPr>
    </w:lvl>
  </w:abstractNum>
  <w:abstractNum w:abstractNumId="2131446">
    <w:lvl>
      <w:start w:val="2"/>
      <w:numFmt w:val="lowerRoman"/>
      <w:suff w:val="tab"/>
      <w:lvlText w:val="%1."/>
      <w:rPr>
        <w:color w:val="3370ff"/>
      </w:rPr>
    </w:lvl>
  </w:abstractNum>
  <w:abstractNum w:abstractNumId="2131447">
    <w:lvl>
      <w:start w:val="3"/>
      <w:numFmt w:val="lowerRoman"/>
      <w:suff w:val="tab"/>
      <w:lvlText w:val="%1."/>
      <w:rPr>
        <w:color w:val="3370ff"/>
      </w:rPr>
    </w:lvl>
  </w:abstractNum>
  <w:abstractNum w:abstractNumId="2131448">
    <w:lvl>
      <w:start w:val="4"/>
      <w:numFmt w:val="lowerRoman"/>
      <w:suff w:val="tab"/>
      <w:lvlText w:val="%1."/>
      <w:rPr>
        <w:color w:val="3370ff"/>
      </w:rPr>
    </w:lvl>
  </w:abstractNum>
  <w:abstractNum w:abstractNumId="2131449">
    <w:lvl>
      <w:start w:val="5"/>
      <w:numFmt w:val="lowerRoman"/>
      <w:suff w:val="tab"/>
      <w:lvlText w:val="%1."/>
      <w:rPr>
        <w:color w:val="3370ff"/>
      </w:rPr>
    </w:lvl>
  </w:abstractNum>
  <w:abstractNum w:abstractNumId="2131450">
    <w:lvl>
      <w:numFmt w:val="bullet"/>
      <w:suff w:val="tab"/>
      <w:lvlText w:val="￮"/>
      <w:rPr>
        <w:color w:val="3370ff"/>
      </w:rPr>
    </w:lvl>
  </w:abstractNum>
  <w:abstractNum w:abstractNumId="2131451">
    <w:lvl>
      <w:start w:val="1"/>
      <w:numFmt w:val="decimal"/>
      <w:suff w:val="tab"/>
      <w:lvlText w:val="%1."/>
      <w:rPr>
        <w:color w:val="3370ff"/>
      </w:rPr>
    </w:lvl>
  </w:abstractNum>
  <w:abstractNum w:abstractNumId="2131452">
    <w:lvl>
      <w:start w:val="1"/>
      <w:numFmt w:val="decimal"/>
      <w:suff w:val="tab"/>
      <w:lvlText w:val="%1."/>
      <w:rPr>
        <w:color w:val="3370ff"/>
      </w:rPr>
    </w:lvl>
  </w:abstractNum>
  <w:abstractNum w:abstractNumId="2131453">
    <w:lvl>
      <w:start w:val="1"/>
      <w:numFmt w:val="decimal"/>
      <w:suff w:val="tab"/>
      <w:lvlText w:val="%1."/>
      <w:rPr>
        <w:color w:val="3370ff"/>
      </w:rPr>
    </w:lvl>
  </w:abstractNum>
  <w:abstractNum w:abstractNumId="2131454">
    <w:lvl>
      <w:start w:val="2"/>
      <w:numFmt w:val="decimal"/>
      <w:suff w:val="tab"/>
      <w:lvlText w:val="%1."/>
      <w:rPr>
        <w:color w:val="3370ff"/>
      </w:rPr>
    </w:lvl>
  </w:abstractNum>
  <w:abstractNum w:abstractNumId="2131455">
    <w:lvl>
      <w:start w:val="3"/>
      <w:numFmt w:val="decimal"/>
      <w:suff w:val="tab"/>
      <w:lvlText w:val="%1."/>
      <w:rPr>
        <w:color w:val="3370ff"/>
      </w:rPr>
    </w:lvl>
  </w:abstractNum>
  <w:abstractNum w:abstractNumId="2131456">
    <w:lvl>
      <w:start w:val="4"/>
      <w:numFmt w:val="decimal"/>
      <w:suff w:val="tab"/>
      <w:lvlText w:val="%1."/>
      <w:rPr>
        <w:color w:val="3370ff"/>
      </w:rPr>
    </w:lvl>
  </w:abstractNum>
  <w:abstractNum w:abstractNumId="2131457">
    <w:lvl>
      <w:start w:val="1"/>
      <w:numFmt w:val="decimal"/>
      <w:suff w:val="tab"/>
      <w:lvlText w:val="%1."/>
      <w:rPr>
        <w:color w:val="3370ff"/>
      </w:rPr>
    </w:lvl>
  </w:abstractNum>
  <w:abstractNum w:abstractNumId="2131458">
    <w:lvl>
      <w:numFmt w:val="bullet"/>
      <w:suff w:val="tab"/>
      <w:lvlText w:val="￮"/>
      <w:rPr>
        <w:color w:val="3370ff"/>
      </w:rPr>
    </w:lvl>
  </w:abstractNum>
  <w:abstractNum w:abstractNumId="2131459">
    <w:lvl>
      <w:start w:val="2"/>
      <w:numFmt w:val="decimal"/>
      <w:suff w:val="tab"/>
      <w:lvlText w:val="%1."/>
      <w:rPr>
        <w:color w:val="3370ff"/>
      </w:rPr>
    </w:lvl>
  </w:abstractNum>
  <w:abstractNum w:abstractNumId="2131460">
    <w:lvl>
      <w:numFmt w:val="bullet"/>
      <w:suff w:val="tab"/>
      <w:lvlText w:val="￮"/>
      <w:rPr>
        <w:color w:val="3370ff"/>
      </w:rPr>
    </w:lvl>
  </w:abstractNum>
  <w:abstractNum w:abstractNumId="2131461">
    <w:lvl>
      <w:numFmt w:val="bullet"/>
      <w:suff w:val="tab"/>
      <w:lvlText w:val="￮"/>
      <w:rPr>
        <w:color w:val="3370ff"/>
      </w:rPr>
    </w:lvl>
  </w:abstractNum>
  <w:abstractNum w:abstractNumId="2131462">
    <w:lvl>
      <w:numFmt w:val="bullet"/>
      <w:suff w:val="tab"/>
      <w:lvlText w:val="￮"/>
      <w:rPr>
        <w:color w:val="3370ff"/>
      </w:rPr>
    </w:lvl>
  </w:abstractNum>
  <w:abstractNum w:abstractNumId="2131463">
    <w:lvl>
      <w:start w:val="3"/>
      <w:numFmt w:val="decimal"/>
      <w:suff w:val="tab"/>
      <w:lvlText w:val="%1."/>
      <w:rPr>
        <w:color w:val="3370ff"/>
      </w:rPr>
    </w:lvl>
  </w:abstractNum>
  <w:abstractNum w:abstractNumId="2131464">
    <w:lvl>
      <w:numFmt w:val="bullet"/>
      <w:suff w:val="tab"/>
      <w:lvlText w:val="￮"/>
      <w:rPr>
        <w:color w:val="3370ff"/>
      </w:rPr>
    </w:lvl>
  </w:abstractNum>
  <w:abstractNum w:abstractNumId="2131465">
    <w:lvl>
      <w:numFmt w:val="bullet"/>
      <w:suff w:val="tab"/>
      <w:lvlText w:val="￮"/>
      <w:rPr>
        <w:color w:val="3370ff"/>
      </w:rPr>
    </w:lvl>
  </w:abstractNum>
  <w:num w:numId="1">
    <w:abstractNumId w:val="2131407"/>
  </w:num>
  <w:num w:numId="2">
    <w:abstractNumId w:val="2131408"/>
  </w:num>
  <w:num w:numId="3">
    <w:abstractNumId w:val="2131409"/>
  </w:num>
  <w:num w:numId="4">
    <w:abstractNumId w:val="2131410"/>
  </w:num>
  <w:num w:numId="5">
    <w:abstractNumId w:val="2131411"/>
  </w:num>
  <w:num w:numId="6">
    <w:abstractNumId w:val="2131412"/>
  </w:num>
  <w:num w:numId="7">
    <w:abstractNumId w:val="2131413"/>
  </w:num>
  <w:num w:numId="8">
    <w:abstractNumId w:val="2131414"/>
  </w:num>
  <w:num w:numId="9">
    <w:abstractNumId w:val="2131415"/>
  </w:num>
  <w:num w:numId="10">
    <w:abstractNumId w:val="2131416"/>
  </w:num>
  <w:num w:numId="11">
    <w:abstractNumId w:val="2131417"/>
  </w:num>
  <w:num w:numId="12">
    <w:abstractNumId w:val="2131418"/>
  </w:num>
  <w:num w:numId="13">
    <w:abstractNumId w:val="2131419"/>
  </w:num>
  <w:num w:numId="14">
    <w:abstractNumId w:val="2131420"/>
  </w:num>
  <w:num w:numId="15">
    <w:abstractNumId w:val="2131421"/>
  </w:num>
  <w:num w:numId="16">
    <w:abstractNumId w:val="2131422"/>
  </w:num>
  <w:num w:numId="17">
    <w:abstractNumId w:val="2131423"/>
  </w:num>
  <w:num w:numId="18">
    <w:abstractNumId w:val="2131424"/>
  </w:num>
  <w:num w:numId="19">
    <w:abstractNumId w:val="2131425"/>
  </w:num>
  <w:num w:numId="20">
    <w:abstractNumId w:val="2131426"/>
  </w:num>
  <w:num w:numId="21">
    <w:abstractNumId w:val="2131427"/>
  </w:num>
  <w:num w:numId="22">
    <w:abstractNumId w:val="2131428"/>
  </w:num>
  <w:num w:numId="23">
    <w:abstractNumId w:val="2131429"/>
  </w:num>
  <w:num w:numId="24">
    <w:abstractNumId w:val="2131430"/>
  </w:num>
  <w:num w:numId="25">
    <w:abstractNumId w:val="2131431"/>
  </w:num>
  <w:num w:numId="26">
    <w:abstractNumId w:val="2131432"/>
  </w:num>
  <w:num w:numId="27">
    <w:abstractNumId w:val="2131433"/>
  </w:num>
  <w:num w:numId="28">
    <w:abstractNumId w:val="2131434"/>
  </w:num>
  <w:num w:numId="29">
    <w:abstractNumId w:val="2131435"/>
  </w:num>
  <w:num w:numId="30">
    <w:abstractNumId w:val="2131436"/>
  </w:num>
  <w:num w:numId="31">
    <w:abstractNumId w:val="2131437"/>
  </w:num>
  <w:num w:numId="32">
    <w:abstractNumId w:val="2131438"/>
  </w:num>
  <w:num w:numId="33">
    <w:abstractNumId w:val="2131439"/>
  </w:num>
  <w:num w:numId="34">
    <w:abstractNumId w:val="2131440"/>
  </w:num>
  <w:num w:numId="35">
    <w:abstractNumId w:val="2131441"/>
  </w:num>
  <w:num w:numId="36">
    <w:abstractNumId w:val="2131442"/>
  </w:num>
  <w:num w:numId="37">
    <w:abstractNumId w:val="2131443"/>
  </w:num>
  <w:num w:numId="38">
    <w:abstractNumId w:val="2131444"/>
  </w:num>
  <w:num w:numId="39">
    <w:abstractNumId w:val="2131445"/>
  </w:num>
  <w:num w:numId="40">
    <w:abstractNumId w:val="2131446"/>
  </w:num>
  <w:num w:numId="41">
    <w:abstractNumId w:val="2131447"/>
  </w:num>
  <w:num w:numId="42">
    <w:abstractNumId w:val="2131448"/>
  </w:num>
  <w:num w:numId="43">
    <w:abstractNumId w:val="2131449"/>
  </w:num>
  <w:num w:numId="44">
    <w:abstractNumId w:val="2131450"/>
  </w:num>
  <w:num w:numId="45">
    <w:abstractNumId w:val="2131451"/>
  </w:num>
  <w:num w:numId="46">
    <w:abstractNumId w:val="2131452"/>
  </w:num>
  <w:num w:numId="47">
    <w:abstractNumId w:val="2131453"/>
  </w:num>
  <w:num w:numId="48">
    <w:abstractNumId w:val="2131454"/>
  </w:num>
  <w:num w:numId="49">
    <w:abstractNumId w:val="2131455"/>
  </w:num>
  <w:num w:numId="50">
    <w:abstractNumId w:val="2131456"/>
  </w:num>
  <w:num w:numId="51">
    <w:abstractNumId w:val="2131457"/>
  </w:num>
  <w:num w:numId="52">
    <w:abstractNumId w:val="2131458"/>
  </w:num>
  <w:num w:numId="53">
    <w:abstractNumId w:val="2131459"/>
  </w:num>
  <w:num w:numId="54">
    <w:abstractNumId w:val="2131460"/>
  </w:num>
  <w:num w:numId="55">
    <w:abstractNumId w:val="2131461"/>
  </w:num>
  <w:num w:numId="56">
    <w:abstractNumId w:val="2131462"/>
  </w:num>
  <w:num w:numId="57">
    <w:abstractNumId w:val="2131463"/>
  </w:num>
  <w:num w:numId="58">
    <w:abstractNumId w:val="2131464"/>
  </w:num>
  <w:num w:numId="59">
    <w:abstractNumId w:val="213146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6.png" Type="http://schemas.openxmlformats.org/officeDocument/2006/relationships/image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2026-05-30T06:15:25Z</dcterms:created>
  <dc:creator>Apache POI</dc:creator>
</cp:coreProperties>
</file>