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ealthdata-alliance-有约束力的公司规则控制者"/>
    <w:p>
      <w:pPr>
        <w:pStyle w:val="Heading1"/>
      </w:pPr>
      <w:r>
        <w:t xml:space="preserve">HEALTHDATA ALLIANCE </w:t>
      </w:r>
      <w:r>
        <w:rPr>
          <w:rFonts w:hint="eastAsia"/>
        </w:rPr>
        <w:t xml:space="preserve">有约束力的公司规则（控制者）</w:t>
      </w:r>
    </w:p>
    <w:p>
      <w:pPr>
        <w:pStyle w:val="FirstParagraph"/>
      </w:pPr>
      <w:r>
        <w:t xml:space="preserve">HealthData Alliance Binding Corporate Rules (Controllers)</w:t>
      </w:r>
    </w:p>
    <w:p>
      <w:pPr>
        <w:pStyle w:val="BodyText"/>
      </w:pPr>
      <w:r>
        <w:rPr>
          <w:rFonts w:hint="eastAsia"/>
        </w:rPr>
        <w:t xml:space="preserve">草案版本：1.0</w:t>
      </w:r>
    </w:p>
    <w:bookmarkStart w:id="20" w:name="X9608a40150d137feba1540f48f7940d417a535a"/>
    <w:p>
      <w:pPr>
        <w:pStyle w:val="Heading2"/>
      </w:pPr>
      <w:r>
        <w:rPr>
          <w:rFonts w:hint="eastAsia"/>
        </w:rPr>
        <w:t xml:space="preserve">第1章：目标与原则（Chapter</w:t>
      </w:r>
      <w:r>
        <w:t xml:space="preserve"> 1: Objectives and </w:t>
      </w:r>
      <w:r>
        <w:rPr>
          <w:rFonts w:hint="eastAsia"/>
        </w:rPr>
        <w:t xml:space="preserve">Principles）</w:t>
      </w:r>
    </w:p>
    <w:p>
      <w:pPr>
        <w:pStyle w:val="FirstParagraph"/>
      </w:pPr>
      <w:r>
        <w:rPr>
          <w:rFonts w:hint="eastAsia"/>
        </w:rPr>
        <w:t xml:space="preserve">本</w:t>
      </w:r>
      <w:r>
        <w:t xml:space="preserve"> BCR </w:t>
      </w:r>
      <w:r>
        <w:rPr>
          <w:rFonts w:hint="eastAsia"/>
        </w:rPr>
        <w:t xml:space="preserve">旨在确保</w:t>
      </w:r>
      <w:r>
        <w:t xml:space="preserve"> HealthData Alliance </w:t>
      </w:r>
      <w:r>
        <w:rPr>
          <w:rFonts w:hint="eastAsia"/>
        </w:rPr>
        <w:t xml:space="preserve">所有成员在处理和传输个人健康数据时，遵守欧盟《通用数据保护条例》（GDPR）的核心原则。</w:t>
      </w:r>
    </w:p>
    <w:p>
      <w:pPr>
        <w:pStyle w:val="BodyText"/>
      </w:pPr>
      <w:r>
        <w:t xml:space="preserve">These BCRs aim to ensure that all members of the HealthData Alliance adhere to the core principles of the EU General Data Protection Regulation (GDPR) when processing and transferring personal health data.</w:t>
      </w:r>
    </w:p>
    <w:bookmarkEnd w:id="20"/>
    <w:bookmarkStart w:id="21" w:name="第2章适用范围与成员chapter-2-scope-and-membership"/>
    <w:p>
      <w:pPr>
        <w:pStyle w:val="Heading2"/>
      </w:pPr>
      <w:r>
        <w:rPr>
          <w:rFonts w:hint="eastAsia"/>
        </w:rPr>
        <w:t xml:space="preserve">第2章：适用范围与成员（Chapter</w:t>
      </w:r>
      <w:r>
        <w:t xml:space="preserve"> 2: Scope and </w:t>
      </w:r>
      <w:r>
        <w:rPr>
          <w:rFonts w:hint="eastAsia"/>
        </w:rPr>
        <w:t xml:space="preserve">Membership）</w:t>
      </w:r>
    </w:p>
    <w:p>
      <w:pPr>
        <w:pStyle w:val="FirstParagraph"/>
      </w:pPr>
      <w:r>
        <w:rPr>
          <w:rFonts w:hint="eastAsia"/>
        </w:rPr>
        <w:t xml:space="preserve">本</w:t>
      </w:r>
      <w:r>
        <w:t xml:space="preserve"> BCR </w:t>
      </w:r>
      <w:r>
        <w:rPr>
          <w:rFonts w:hint="eastAsia"/>
        </w:rPr>
        <w:t xml:space="preserve">适用于</w:t>
      </w:r>
      <w:r>
        <w:t xml:space="preserve"> HealthData Alliance </w:t>
      </w:r>
      <w:r>
        <w:rPr>
          <w:rFonts w:hint="eastAsia"/>
        </w:rPr>
        <w:t xml:space="preserve">的所有成员。</w:t>
      </w:r>
    </w:p>
    <w:p>
      <w:pPr>
        <w:pStyle w:val="BodyText"/>
      </w:pPr>
      <w:r>
        <w:t xml:space="preserve">These BCRs apply to all members of the HealthData Alliance.</w:t>
      </w:r>
    </w:p>
    <w:bookmarkEnd w:id="21"/>
    <w:bookmarkStart w:id="22" w:name="Xb3ea99a5c9f124c70eb157ddf89200b3ee6d5df"/>
    <w:p>
      <w:pPr>
        <w:pStyle w:val="Heading2"/>
      </w:pPr>
      <w:r>
        <w:rPr>
          <w:rFonts w:hint="eastAsia"/>
        </w:rPr>
        <w:t xml:space="preserve">第3章：数据保护承诺（Chapter</w:t>
      </w:r>
      <w:r>
        <w:t xml:space="preserve"> 3: Data Protection </w:t>
      </w:r>
      <w:r>
        <w:rPr>
          <w:rFonts w:hint="eastAsia"/>
        </w:rPr>
        <w:t xml:space="preserve">Commitments）</w:t>
      </w:r>
    </w:p>
    <w:p>
      <w:pPr>
        <w:pStyle w:val="FirstParagraph"/>
      </w:pPr>
      <w:r>
        <w:rPr>
          <w:rFonts w:hint="eastAsia"/>
        </w:rPr>
        <w:t xml:space="preserve">所有成员承诺遵守目的限制、数据最小化、准确性、存储限制、完整性与保密性以及问责制原则。</w:t>
      </w:r>
    </w:p>
    <w:p>
      <w:pPr>
        <w:pStyle w:val="BodyText"/>
      </w:pPr>
      <w:r>
        <w:t xml:space="preserve">All members commit to complying with the principles of purpose limitation, data minimisation, accuracy, storage limitation, integrity and confidentiality, and accountability.</w:t>
      </w:r>
    </w:p>
    <w:bookmarkEnd w:id="22"/>
    <w:bookmarkStart w:id="23" w:name="第4章数据主体权利chapter-4-data-subject-rights"/>
    <w:p>
      <w:pPr>
        <w:pStyle w:val="Heading2"/>
      </w:pPr>
      <w:r>
        <w:rPr>
          <w:rFonts w:hint="eastAsia"/>
        </w:rPr>
        <w:t xml:space="preserve">第4章：数据主体权利（Chapter</w:t>
      </w:r>
      <w:r>
        <w:t xml:space="preserve"> 4: Data Subject </w:t>
      </w:r>
      <w:r>
        <w:rPr>
          <w:rFonts w:hint="eastAsia"/>
        </w:rPr>
        <w:t xml:space="preserve">Rights）</w:t>
      </w:r>
    </w:p>
    <w:p>
      <w:pPr>
        <w:pStyle w:val="FirstParagraph"/>
      </w:pPr>
      <w:r>
        <w:rPr>
          <w:rFonts w:hint="eastAsia"/>
        </w:rPr>
        <w:t xml:space="preserve">成员应尊重数据主体的访问权、更正权、删除权（被遗忘权）、限制处理权、数据可携权以及反对权。</w:t>
      </w:r>
    </w:p>
    <w:p>
      <w:pPr>
        <w:pStyle w:val="BodyText"/>
      </w:pPr>
      <w:r>
        <w:t xml:space="preserve">Members shall respect data subjects’ rights of access, rectification, erasure (right to be forgotten), restriction of processing, data portability, and objection.</w:t>
      </w:r>
    </w:p>
    <w:bookmarkEnd w:id="23"/>
    <w:bookmarkStart w:id="24" w:name="第5章安全措施chapter-5-security-measures"/>
    <w:p>
      <w:pPr>
        <w:pStyle w:val="Heading2"/>
      </w:pPr>
      <w:r>
        <w:rPr>
          <w:rFonts w:hint="eastAsia"/>
        </w:rPr>
        <w:t xml:space="preserve">第5章：安全措施（Chapter</w:t>
      </w:r>
      <w:r>
        <w:t xml:space="preserve"> 5: Security </w:t>
      </w:r>
      <w:r>
        <w:rPr>
          <w:rFonts w:hint="eastAsia"/>
        </w:rPr>
        <w:t xml:space="preserve">Measures）</w:t>
      </w:r>
    </w:p>
    <w:p>
      <w:pPr>
        <w:pStyle w:val="FirstParagraph"/>
      </w:pPr>
      <w:r>
        <w:rPr>
          <w:rFonts w:hint="eastAsia"/>
        </w:rPr>
        <w:t xml:space="preserve">成员应采取适当的安全措施保护个人数据。</w:t>
      </w:r>
    </w:p>
    <w:p>
      <w:pPr>
        <w:pStyle w:val="BodyText"/>
      </w:pPr>
      <w:r>
        <w:t xml:space="preserve">Members shall implement appropriate security measures to protect personal data.</w:t>
      </w:r>
    </w:p>
    <w:bookmarkEnd w:id="24"/>
    <w:bookmarkStart w:id="25" w:name="Xaa465e59992ec64b4e63c183e68f7cf051982b9"/>
    <w:p>
      <w:pPr>
        <w:pStyle w:val="Heading2"/>
      </w:pPr>
      <w:r>
        <w:rPr>
          <w:rFonts w:hint="eastAsia"/>
        </w:rPr>
        <w:t xml:space="preserve">第6章：跨境数据传输（Chapter</w:t>
      </w:r>
      <w:r>
        <w:t xml:space="preserve"> 6: Cross-Border Data </w:t>
      </w:r>
      <w:r>
        <w:rPr>
          <w:rFonts w:hint="eastAsia"/>
        </w:rPr>
        <w:t xml:space="preserve">Transfers）</w:t>
      </w:r>
    </w:p>
    <w:p>
      <w:pPr>
        <w:pStyle w:val="FirstParagraph"/>
      </w:pPr>
      <w:r>
        <w:rPr>
          <w:rFonts w:hint="eastAsia"/>
        </w:rPr>
        <w:t xml:space="preserve">成员在向位于非充分性认定国家的其他成员传输数据前，应进行风险评估。</w:t>
      </w:r>
    </w:p>
    <w:p>
      <w:pPr>
        <w:pStyle w:val="BodyText"/>
      </w:pPr>
      <w:r>
        <w:t xml:space="preserve">Members shall conduct a risk assessment prior to transferring data to other members located in third countries not recognized as providing an adequate level of protection.</w:t>
      </w:r>
    </w:p>
    <w:bookmarkEnd w:id="25"/>
    <w:bookmarkStart w:id="26" w:name="Xeceb239e54f19782aad705035da1a916a37b8a4"/>
    <w:p>
      <w:pPr>
        <w:pStyle w:val="Heading2"/>
      </w:pPr>
      <w:r>
        <w:rPr>
          <w:rFonts w:hint="eastAsia"/>
        </w:rPr>
        <w:t xml:space="preserve">第7章：治理与监督（Chapter</w:t>
      </w:r>
      <w:r>
        <w:t xml:space="preserve"> 7: Governance and </w:t>
      </w:r>
      <w:r>
        <w:rPr>
          <w:rFonts w:hint="eastAsia"/>
        </w:rPr>
        <w:t xml:space="preserve">Supervision）</w:t>
      </w:r>
    </w:p>
    <w:p>
      <w:pPr>
        <w:pStyle w:val="FirstParagraph"/>
      </w:pPr>
      <w:r>
        <w:rPr>
          <w:rFonts w:hint="eastAsia"/>
        </w:rPr>
        <w:t xml:space="preserve">联盟理事会负责监督</w:t>
      </w:r>
      <w:r>
        <w:t xml:space="preserve"> BCR </w:t>
      </w:r>
      <w:r>
        <w:rPr>
          <w:rFonts w:hint="eastAsia"/>
        </w:rPr>
        <w:t xml:space="preserve">的遵守情况，并处理内部投诉。</w:t>
      </w:r>
    </w:p>
    <w:p>
      <w:pPr>
        <w:pStyle w:val="BodyText"/>
      </w:pPr>
      <w:r>
        <w:t xml:space="preserve">The Alliance Council is responsible for overseeing compliance with these BCRs and handling internal complaints.</w:t>
      </w:r>
    </w:p>
    <w:bookmarkEnd w:id="26"/>
    <w:bookmarkStart w:id="27" w:name="第8章责任chapter-8-liability"/>
    <w:p>
      <w:pPr>
        <w:pStyle w:val="Heading2"/>
      </w:pPr>
      <w:r>
        <w:rPr>
          <w:rFonts w:hint="eastAsia"/>
        </w:rPr>
        <w:t xml:space="preserve">第8章：责任（Chapter</w:t>
      </w:r>
      <w:r>
        <w:t xml:space="preserve"> 8: </w:t>
      </w:r>
      <w:r>
        <w:rPr>
          <w:rFonts w:hint="eastAsia"/>
        </w:rPr>
        <w:t xml:space="preserve">Liability）</w:t>
      </w:r>
    </w:p>
    <w:p>
      <w:pPr>
        <w:pStyle w:val="FirstParagraph"/>
      </w:pPr>
      <w:r>
        <w:rPr>
          <w:rFonts w:hint="eastAsia"/>
        </w:rPr>
        <w:t xml:space="preserve">违反本</w:t>
      </w:r>
      <w:r>
        <w:t xml:space="preserve"> BCR </w:t>
      </w:r>
      <w:r>
        <w:rPr>
          <w:rFonts w:hint="eastAsia"/>
        </w:rPr>
        <w:t xml:space="preserve">的成员应根据适用法律承担相应责任。</w:t>
      </w:r>
    </w:p>
    <w:p>
      <w:pPr>
        <w:pStyle w:val="BodyText"/>
      </w:pPr>
      <w:r>
        <w:t xml:space="preserve">Members who breach these BCRs shall be liable in accordance with applicable law.</w:t>
      </w:r>
    </w:p>
    <w:bookmarkEnd w:id="27"/>
    <w:bookmarkStart w:id="28" w:name="Xd66550319f28cb4fda10ab22edfc4feb9287e78"/>
    <w:p>
      <w:pPr>
        <w:pStyle w:val="Heading2"/>
      </w:pPr>
      <w:r>
        <w:rPr>
          <w:rFonts w:hint="eastAsia"/>
        </w:rPr>
        <w:t xml:space="preserve">第9章：修改与生效（Chapter</w:t>
      </w:r>
      <w:r>
        <w:t xml:space="preserve"> 9: Amendments and Entry into </w:t>
      </w:r>
      <w:r>
        <w:rPr>
          <w:rFonts w:hint="eastAsia"/>
        </w:rPr>
        <w:t xml:space="preserve">Force）</w:t>
      </w:r>
    </w:p>
    <w:p>
      <w:pPr>
        <w:pStyle w:val="FirstParagraph"/>
      </w:pPr>
      <w:r>
        <w:rPr>
          <w:rFonts w:hint="eastAsia"/>
        </w:rPr>
        <w:t xml:space="preserve">本</w:t>
      </w:r>
      <w:r>
        <w:t xml:space="preserve"> BCR </w:t>
      </w:r>
      <w:r>
        <w:rPr>
          <w:rFonts w:hint="eastAsia"/>
        </w:rPr>
        <w:t xml:space="preserve">经联盟理事会批准后生效，并对所有成员具有约束力。</w:t>
      </w:r>
    </w:p>
    <w:p>
      <w:pPr>
        <w:pStyle w:val="BodyText"/>
      </w:pPr>
      <w:r>
        <w:t xml:space="preserve">These BCRs shall enter into force upon approval by the Alliance Council and are binding on all members.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2026-08-08T13:57:12Z</dcterms:created>
  <dcterms:modified xsi:type="dcterms:W3CDTF">2026-08-08T13:57:12Z</dcterms:modified>
</cp:coreProperties>
</file>

<file path=docProps/custom.xml><?xml version="1.0" encoding="utf-8"?>
<Properties xmlns="http://schemas.openxmlformats.org/officeDocument/2006/custom-properties" xmlns:vt="http://schemas.openxmlformats.org/officeDocument/2006/docPropsVTypes"/>
</file>