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BCR-C Compliance Review Report</w:t>
      </w:r>
    </w:p>
    <w:p>
      <w:r/>
      <w:r>
        <w:t>跨国科技集团</w:t>
      </w:r>
    </w:p>
    <w:p>
      <w:r/>
      <w:r>
        <w:t>EDPB BCR-C 核心要素</w:t>
      </w:r>
    </w:p>
    <w:p>
      <w:r/>
      <w:r>
        <w:t>20260808</w:t>
      </w:r>
    </w:p>
    <w:p>
      <w:r/>
      <w:r>
        <w:t>Overall Rating: 部分缺失</w:t>
      </w:r>
    </w:p>
    <w:p>
      <w:r/>
      <w:r>
        <w:t>Key Findings: 3.2-C1-结构完整性</w:t>
      </w:r>
    </w:p>
    <w:p>
      <w:r/>
      <w:r>
        <w:t>Detailed: | 检查项 | 主题 | 风险 | 现状 | 整改建议 | 法律依据 |</w:t>
      </w:r>
      <w:r>
        <w:br/>
      </w:r>
      <w:r>
        <w:t>| --- | --- | --- | --- | --- | --- |</w:t>
      </w:r>
      <w:r>
        <w:br/>
      </w:r>
      <w:r>
        <w:t>| 3.2-C1 | 结构完整性 | MEDIUM | 章节覆盖不完整 | 补齐约束力与权利章节 | GDPR 第47条 |</w:t>
      </w:r>
    </w:p>
    <w:p>
      <w:r/>
      <w:r>
        <w:t>High Risk: 无</w:t>
      </w:r>
    </w:p>
    <w:p>
      <w:r/>
      <w:r>
        <w:t>Medium Risk: 3.2-C1-结构完整性</w:t>
      </w:r>
    </w:p>
    <w:p>
      <w:r/>
      <w:r>
        <w:t>Low Risk: 无</w:t>
      </w:r>
    </w:p>
    <w:p>
      <w:r/>
      <w:r>
        <w:t>Remediation: （风险优先级与整改建议：LLM未配置，此处为占位内容）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