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100"/>
      </w:pPr>
      <w:r>
        <w:rPr>
          <w:rFonts w:ascii="Arial" w:eastAsia="Microsoft YaHei" w:hAnsi="Arial"/>
          <w:b/>
          <w:bCs/>
          <w:sz w:val="32"/>
          <w:szCs w:val="32"/>
        </w:rPr>
        <w:t xml:space="preserve">任务3 案例2：非CIIO咨询公司15万客户数据标准合同路径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一、用户输入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1. 处理者与出境活动基础信息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公司信息：XX咨询有限公司，商务服务业，非CIIO。业务概述：提供管理咨询服务。出境场景描述：客户数据传至英国办公室用于全球客户服务协同。合法性基础：履行合同。必要性论证：全球客户服务需要统一客户视图和信息共享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2. 出境个人信息清单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数据字段名：客户姓名、电子邮箱、电话号码、公司名称、职位、咨询记录摘要。业务描述：客户关系管理。数据类型：一般个人信息。是否个人信息：是。是否敏感：否。示例数据：客户李某，lisi@company.com，138XXXX1234，XX科技有限公司，总监。所属业务场景：客户服务。累计约15万客户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3. 系统与存储信息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存储位置：英国办公室本地服务器。传输链路：通过加密邮件和VPN传输。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4. 境外接收方信息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基本情况：XX Consulting UK Ltd.（英国），同集团子公司。处理用途方式：客户服务和项目管理。安全保护能力：部署防火墙、加密存储、访问控制。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5. 法律文件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已签订集团内部数据共享协议。只是数据共享而已，应该不需要什么特别的合同吧？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6. 合规证据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已在服务协议中告知客户数据将共享至全球办公室。已建立客户信息保密制度。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7. 自我评估与整改情况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未开展PIPIA。未对照《个人信息出境标准合同办法》第五条进行自查。（缺失：PIPIA未完成，标准合同未签订）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二、标准答案（即系统输出）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《个人信息保护影响评估报告（草案）》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一、出境活动整体情况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（一）个人信息处理者基本情况：XX咨询有限公司，商务服务业，非CIIO。累计向境外提供约15万客户一般个人信息，处于10万至100万区间，适用标准合同路径。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（二）个人信息出境涉及业务：客户数据传至英国办公室，用于全球客户服务协同和统一客户视图管理。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（三）拟出境个人信息情况：出境数据包含客户姓名、联系方式、公司信息、职位、咨询记录等，均为一般个人信息。累计约15万客户。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（四）个人信息处理者安全保障能力：已建立客户信息保密制度，采用加密邮件、VPN传输、加密存储、访问控制等措施。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（五）境外接收方情况：XX Consulting UK Ltd.（英国），同集团子公司。处理目的为客户服务和项目管理。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二、拟出境活动的影响评估情况及结论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一）合法性、正当性、必要性评估：合法性方面，基于履行合同（PIPL第十三条第一项与第二项）。正当性方面，全球客户服务协同为提升服务质量所必需。必要性方面，需论证是否可通过境内团队完成客户服务，避免数据出境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（二）个人信息权益影响评估：出境数据为一般个人信息，对个人权益影响中等。客户数据涉及商业联系信息，泄露可能导致商业骚扰。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（三）境外接收方承诺履行情况评估：已签订集团内部数据共享协议。【待补充：集团内部协议不等同于标准合同，须采用网信办标准合同官方文本】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（四）安全风险分析：英国办公室通过加密邮件和VPN传输，安全措施基本到位。需评估英国《数据保护法》（UK GDPR）下的数据保护水平。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（五）评估结论：本次个人信息出境活动风险总体可控，但需完善以下事项：1）采用标准合同官方文本替代集团内部协议；2）完成PIPIA；3）完成标准合同备案；4）取得客户单独同意。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《草案生成逻辑与合规性说明》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（一）输入信息摘要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处理者类型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非CIIO（商务服务业）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出境场景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客户数据传至英国办公室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出境数据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客户姓名、联系方式、公司信息、咨询记录（一般个人信息）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数据量级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约15万客户（10万-100万区间）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接收方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XX Consulting UK Ltd.（英国，同集团子公司）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法律文件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集团内部数据共享协议（非标准合同）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PIPIA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未开展</w:t>
            </w:r>
          </w:p>
        </w:tc>
      </w:tr>
    </w:tbl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（二）遵循模板与规范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本草案依据《标准合同备案指南第二版》附件5模板编制。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（三）关键判断与合规化处理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路径判定：15万客户处于10万至100万区间，依据第八条适用标准合同路径。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"只是数据共享"纠正：用户认为数据共享无需特别合同，系统纠正——向境外提供个人信息属于数据出境，须采用标准合同官方文本并备案。集团内部协议不替代标准合同。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PIPIA要求：标准合同备案须提交PIPIA报告，用户尚未开展，系统标注为合规差距。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合法性基础确认：用户选择"履行合同"作为合法性基础，需确认咨询服务合同中是否明确约定数据跨境共享条款。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（四）已知合规差距与待定项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标准合同未签订——集团内部协议不等同于标准合同。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PIPIA未完成——备案须提交PIPIA报告。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备案未完成——标准合同订立后10个工作日内须备案。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单独同意未取得——服务协议告知不构成单独同意。</w:t>
      </w:r>
    </w:p>
    <w:p>
      <w:pPr>
        <w:spacing w:after="60" w:before="140"/>
      </w:pPr>
      <w:r>
        <w:rPr>
          <w:rFonts w:ascii="Arial" w:eastAsia="Microsoft YaHei" w:hAnsi="Arial"/>
          <w:b/>
          <w:bCs/>
          <w:sz w:val="23"/>
          <w:szCs w:val="23"/>
        </w:rPr>
        <w:t xml:space="preserve">（五）后续步骤建议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1. 【15日内】采用标准合同官方文本与英国子公司签订标准合同。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2. 【30日内】完成PIPIA报告。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3. 【标准合同订立后10个工作日内】向省级网信部门备案。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4. 【30日内】取得客户单独同意。</w:t>
      </w:r>
    </w:p>
    <w:p>
      <w:pPr>
        <w:spacing w:after="40" w:before="40"/>
        <w:ind w:left="720" w:hanging="360"/>
      </w:pPr>
      <w:r>
        <w:rPr>
          <w:rFonts w:ascii="Arial" w:eastAsia="Microsoft YaHei" w:hAnsi="Arial"/>
          <w:sz w:val="22"/>
          <w:szCs w:val="22"/>
        </w:rPr>
        <w:t xml:space="preserve">5. 【注意】标准合同生效后方可出境活动。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三、备注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噪声类型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PIPIA未完成 + "只是数据共享而已"误导 + 标准合同未签订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难度等级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中等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覆盖场景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非CIIO咨询业出境、15万客户数据、标准合同备案、集团内部传输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适用法域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Microsoft YaHei" w:hAnsi="Arial"/>
                <w:sz w:val="21"/>
                <w:szCs w:val="21"/>
              </w:rPr>
              <w:t xml:space="preserve">中国法域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24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00" w:before="200"/>
      <w:outlineLvl w:val="1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2026-07-30T16:18:46.142Z</dcterms:created>
  <dcterms:modified xsi:type="dcterms:W3CDTF">2026-07-30T16:18:46.142Z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