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100"/>
      </w:pPr>
      <w:r>
        <w:rPr>
          <w:rFonts w:ascii="Arial" w:eastAsia="Microsoft YaHei" w:hAnsi="Arial"/>
          <w:b/>
          <w:bCs/>
          <w:sz w:val="32"/>
          <w:szCs w:val="32"/>
        </w:rPr>
        <w:t xml:space="preserve">任务5 案例1：德国软件公司向美国AWS传输用户数据</w:t>
      </w:r>
    </w:p>
    <w:p>
      <w:pPr>
        <w:pStyle w:val="Heading2"/>
        <w:spacing w:after="100" w:before="200"/>
      </w:pPr>
      <w:r>
        <w:rPr>
          <w:rFonts w:ascii="Arial" w:eastAsia="Microsoft YaHei" w:hAnsi="Arial"/>
          <w:b/>
          <w:bCs/>
          <w:sz w:val="26"/>
          <w:szCs w:val="26"/>
        </w:rPr>
        <w:t xml:space="preserve">一、用户输入</w:t>
      </w:r>
    </w:p>
    <w:p>
      <w:pPr>
        <w:spacing w:after="60" w:before="60"/>
      </w:pPr>
      <w:r>
        <w:rPr>
          <w:rFonts w:ascii="Arial" w:eastAsia="Microsoft YaHei" w:hAnsi="Arial"/>
          <w:sz w:val="22"/>
          <w:szCs w:val="22"/>
        </w:rPr>
        <w:t xml:space="preserve">【数规通系统填写 — SCC文件摘要】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合同双方（出口方/进口方）</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数据出口方：德国慕尼黑某SaaS软件公司（数据控制者）；数据进口方：Amazon Web Services, Inc.（美国，数据处理者）</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数据传输描述</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用户账户信息（姓名、邮箱、密码哈希）、项目文件、使用日志，存储于美国弗吉尼亚州AWS云服务（us-east-1区域）</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传输工具及条款</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双方签署《AWS客户协议》（标准商业服务协议），第10条约定"供应商应采取合理措施保护客户数据机密性"。未选择SCC模块。</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数据类别</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一般个人数据（账户信息、项目文件、使用日志），不涉及特殊类别数据</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文件来源</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2024年签署的商业服务协议（PDF扫描件）</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SCC模块选择</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【缺失——未选择任何SCC模块】</w:t>
            </w:r>
          </w:p>
        </w:tc>
      </w:tr>
    </w:tbl>
    <w:p>
      <w:pPr>
        <w:spacing w:before="80"/>
      </w:pPr>
    </w:p>
    <w:p>
      <w:pPr>
        <w:spacing w:after="60" w:before="60"/>
      </w:pPr>
      <w:r>
        <w:rPr>
          <w:rFonts w:ascii="Arial" w:eastAsia="Microsoft YaHei" w:hAnsi="Arial"/>
          <w:sz w:val="22"/>
          <w:szCs w:val="22"/>
        </w:rPr>
        <w:t xml:space="preserve">【上传方陈述】</w:t>
      </w:r>
    </w:p>
    <w:p>
      <w:pPr>
        <w:spacing w:after="60" w:before="60"/>
      </w:pPr>
      <w:r>
        <w:rPr>
          <w:rFonts w:ascii="Arial" w:eastAsia="Microsoft YaHei" w:hAnsi="Arial"/>
          <w:sz w:val="22"/>
          <w:szCs w:val="22"/>
        </w:rPr>
        <w:t xml:space="preserve">我们和AWS签了标准的商业服务协议，里面有数据保密条款。我认为这套安排已经完全符合GDPR的要求了，毕竟AWS是全球最大的云服务商，GDPR本身就覆盖了这种跨境数据处理场景，不需要额外再签什么合同吧？我们的法务团队很小，实在搞不清楚还有什么遗漏的地方。请帮我们确认一下现在的合规状态。</w:t>
      </w:r>
    </w:p>
    <w:p>
      <w:pPr>
        <w:pStyle w:val="Heading2"/>
        <w:spacing w:after="100" w:before="200"/>
      </w:pPr>
      <w:r>
        <w:rPr>
          <w:rFonts w:ascii="Arial" w:eastAsia="Microsoft YaHei" w:hAnsi="Arial"/>
          <w:b/>
          <w:bCs/>
          <w:sz w:val="26"/>
          <w:szCs w:val="26"/>
        </w:rPr>
        <w:t xml:space="preserve">二、标准答案（即系统输出）</w:t>
      </w:r>
    </w:p>
    <w:p>
      <w:pPr>
        <w:spacing w:after="60" w:before="140"/>
      </w:pPr>
      <w:r>
        <w:rPr>
          <w:rFonts w:ascii="Arial" w:eastAsia="Microsoft YaHei" w:hAnsi="Arial"/>
          <w:b/>
          <w:bCs/>
          <w:sz w:val="23"/>
          <w:szCs w:val="23"/>
        </w:rPr>
        <w:t xml:space="preserve">《SCC合规审查报告》</w:t>
      </w:r>
    </w:p>
    <w:p>
      <w:pPr>
        <w:spacing w:after="60" w:before="140"/>
      </w:pPr>
      <w:r>
        <w:rPr>
          <w:rFonts w:ascii="Arial" w:eastAsia="Microsoft YaHei" w:hAnsi="Arial"/>
          <w:b/>
          <w:bCs/>
          <w:sz w:val="23"/>
          <w:szCs w:val="23"/>
        </w:rPr>
        <w:t xml:space="preserve">一、文件概要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文件名称</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AWS客户协议（商业服务协议）</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文件类型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商业服务协议（非SCC）</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审查日期</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2025年</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审查范围</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跨境数据传输合规性（欧盟→美国）</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审查依据</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GDPR Art. 44-49; Commission Implementing Decision (EU) 2021/914; Schrems II (C-311/18); EDPB Recommendations 01/2020</w:t>
            </w:r>
          </w:p>
        </w:tc>
      </w:tr>
    </w:tbl>
    <w:p>
      <w:pPr>
        <w:spacing w:before="80"/>
      </w:pPr>
    </w:p>
    <w:p>
      <w:pPr>
        <w:spacing w:after="60" w:before="140"/>
      </w:pPr>
      <w:r>
        <w:rPr>
          <w:rFonts w:ascii="Arial" w:eastAsia="Microsoft YaHei" w:hAnsi="Arial"/>
          <w:b/>
          <w:bCs/>
          <w:sz w:val="23"/>
          <w:szCs w:val="23"/>
        </w:rPr>
        <w:t xml:space="preserve">二、总体合规评级</w:t>
      </w:r>
    </w:p>
    <w:p>
      <w:pPr>
        <w:spacing w:after="60" w:before="60"/>
      </w:pPr>
      <w:r>
        <w:rPr>
          <w:rFonts w:ascii="Arial" w:eastAsia="Microsoft YaHei" w:hAnsi="Arial"/>
          <w:b/>
          <w:bCs/>
          <w:sz w:val="22"/>
          <w:szCs w:val="22"/>
        </w:rPr>
        <w:t xml:space="preserve">合规评级：不合规（高风险）</w:t>
      </w:r>
    </w:p>
    <w:p>
      <w:pPr>
        <w:spacing w:after="60" w:before="60"/>
      </w:pPr>
      <w:r>
        <w:rPr>
          <w:rFonts w:ascii="Arial" w:eastAsia="Microsoft YaHei" w:hAnsi="Arial"/>
          <w:sz w:val="22"/>
          <w:szCs w:val="22"/>
        </w:rPr>
        <w:t xml:space="preserve">当前文件为普通商业服务协议，不构成GDPR第46条项下的适当保障措施。存在SCC模块缺失、TIA缺失、美国FISA 702风险评估缺失、技术补充措施缺失等多项重大合规缺陷。建议在30天内启动整改。</w:t>
      </w:r>
    </w:p>
    <w:p>
      <w:pPr>
        <w:spacing w:before="80"/>
      </w:pPr>
    </w:p>
    <w:p>
      <w:pPr>
        <w:spacing w:after="60" w:before="140"/>
      </w:pPr>
      <w:r>
        <w:rPr>
          <w:rFonts w:ascii="Arial" w:eastAsia="Microsoft YaHei" w:hAnsi="Arial"/>
          <w:b/>
          <w:bCs/>
          <w:sz w:val="23"/>
          <w:szCs w:val="23"/>
        </w:rPr>
        <w:t xml:space="preserve">三、条款级审查发现</w:t>
      </w:r>
    </w:p>
    <w:p>
      <w:pPr>
        <w:spacing w:after="60" w:before="140"/>
      </w:pPr>
      <w:r>
        <w:rPr>
          <w:rFonts w:ascii="Arial" w:eastAsia="Microsoft YaHei" w:hAnsi="Arial"/>
          <w:b/>
          <w:bCs/>
          <w:sz w:val="23"/>
          <w:szCs w:val="23"/>
        </w:rPr>
        <w:t xml:space="preserve">审查发现1：SCC模块选择缺失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条款定位</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全文——未包含任何SCC模块选择条款</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原文引用</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"供应商应采取合理措施保护客户数据的机密性……（商业协议第10条）"</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问题类型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传输工具缺失</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风险分析</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数据控制者向处理者传输个人数据至第三国（美国），未签署SCC Module 2，违反GDPR第44条和第46(2)(c)条。商业服务协议的保密条款在法律上不等同于SCC，无法提供第46条要求的适当保障措施。此为根本性合规缺陷，传输行为本身即构成违法。</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法规依据</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GDPR Art. 44, Art. 46(2)(c); Commission Implementing Decision (EU) 2021/914 Module 2（控制者→处理者）</w:t>
            </w:r>
          </w:p>
        </w:tc>
      </w:tr>
    </w:tbl>
    <w:p>
      <w:pPr>
        <w:spacing w:after="60" w:before="60"/>
      </w:pPr>
      <w:r>
        <w:rPr>
          <w:rFonts w:ascii="Arial" w:eastAsia="Microsoft YaHei" w:hAnsi="Arial"/>
          <w:b/>
          <w:bCs/>
          <w:sz w:val="22"/>
          <w:szCs w:val="22"/>
        </w:rPr>
        <w:t xml:space="preserve">修改建议：</w:t>
      </w:r>
    </w:p>
    <w:p>
      <w:pPr>
        <w:spacing w:after="40" w:before="40"/>
        <w:ind w:left="720" w:hanging="360"/>
      </w:pPr>
      <w:r>
        <w:rPr>
          <w:rFonts w:ascii="Arial" w:eastAsia="Microsoft YaHei" w:hAnsi="Arial"/>
          <w:sz w:val="22"/>
          <w:szCs w:val="22"/>
        </w:rPr>
        <w:t xml:space="preserve">1. 立即与AWS签署SCC Module 2（2021/914版本）作为商业协议附件，明确选择"控制者→处理者"模块</w:t>
      </w:r>
    </w:p>
    <w:p>
      <w:pPr>
        <w:spacing w:after="40" w:before="40"/>
        <w:ind w:left="720" w:hanging="360"/>
      </w:pPr>
      <w:r>
        <w:rPr>
          <w:rFonts w:ascii="Arial" w:eastAsia="Microsoft YaHei" w:hAnsi="Arial"/>
          <w:sz w:val="22"/>
          <w:szCs w:val="22"/>
        </w:rPr>
        <w:t xml:space="preserve">2. 填写SCC附件中双方信息、数据传输描述、处理目的、数据主体类别、数据类别等技术性条款</w:t>
      </w:r>
    </w:p>
    <w:p>
      <w:pPr>
        <w:spacing w:after="40" w:before="40"/>
        <w:ind w:left="720" w:hanging="360"/>
      </w:pPr>
      <w:r>
        <w:rPr>
          <w:rFonts w:ascii="Arial" w:eastAsia="Microsoft YaHei" w:hAnsi="Arial"/>
          <w:sz w:val="22"/>
          <w:szCs w:val="22"/>
        </w:rPr>
        <w:t xml:space="preserve">3. 在SCC第13/14条告知义务条款中明确向数据主体告知跨境传输的方式与SCC使用情况</w:t>
      </w:r>
    </w:p>
    <w:p>
      <w:pPr>
        <w:spacing w:after="40" w:before="40"/>
        <w:ind w:left="720" w:hanging="360"/>
      </w:pPr>
      <w:r>
        <w:rPr>
          <w:rFonts w:ascii="Arial" w:eastAsia="Microsoft YaHei" w:hAnsi="Arial"/>
          <w:sz w:val="22"/>
          <w:szCs w:val="22"/>
        </w:rPr>
        <w:t xml:space="preserve">4. 指定适用法律（建议选择爱尔兰法或欧盟成员国法律）及管辖法院（SCC第17条Clause b选项）</w:t>
      </w:r>
    </w:p>
    <w:p>
      <w:pPr>
        <w:spacing w:before="80"/>
      </w:pPr>
    </w:p>
    <w:p>
      <w:pPr>
        <w:spacing w:after="60" w:before="140"/>
      </w:pPr>
      <w:r>
        <w:rPr>
          <w:rFonts w:ascii="Arial" w:eastAsia="Microsoft YaHei" w:hAnsi="Arial"/>
          <w:b/>
          <w:bCs/>
          <w:sz w:val="23"/>
          <w:szCs w:val="23"/>
        </w:rPr>
        <w:t xml:space="preserve">审查发现2：未进行传输影响评估（TIA）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条款定位</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全文——未包含TIA文件或评估记录</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原文引用</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"无TIA相关内容"</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问题类型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评估程序缺失</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风险分析</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根据Schrems II判决（CJEU C-311/18），使用SCC向第三国传输时必须进行TIA，评估目的地国法律是否影响SCC条款的实际有效性。当前完全未进行TIA，即使签署SCC也无法证明合规。TIA是SCC有效适用的前提条件。</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法规依据</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Schrems II判决（CJEU Case C-311/18, 2020年7月16日）; EDPB Recommendations 01/2020 on supplementary measures</w:t>
            </w:r>
          </w:p>
        </w:tc>
      </w:tr>
    </w:tbl>
    <w:p>
      <w:pPr>
        <w:spacing w:after="60" w:before="60"/>
      </w:pPr>
      <w:r>
        <w:rPr>
          <w:rFonts w:ascii="Arial" w:eastAsia="Microsoft YaHei" w:hAnsi="Arial"/>
          <w:b/>
          <w:bCs/>
          <w:sz w:val="22"/>
          <w:szCs w:val="22"/>
        </w:rPr>
        <w:t xml:space="preserve">修改建议：</w:t>
      </w:r>
    </w:p>
    <w:p>
      <w:pPr>
        <w:spacing w:after="40" w:before="40"/>
        <w:ind w:left="720" w:hanging="360"/>
      </w:pPr>
      <w:r>
        <w:rPr>
          <w:rFonts w:ascii="Arial" w:eastAsia="Microsoft YaHei" w:hAnsi="Arial"/>
          <w:sz w:val="22"/>
          <w:szCs w:val="22"/>
        </w:rPr>
        <w:t xml:space="preserve">1. 在签署SCC后60天内完成书面TIA报告并归档备查</w:t>
      </w:r>
    </w:p>
    <w:p>
      <w:pPr>
        <w:spacing w:after="40" w:before="40"/>
        <w:ind w:left="720" w:hanging="360"/>
      </w:pPr>
      <w:r>
        <w:rPr>
          <w:rFonts w:ascii="Arial" w:eastAsia="Microsoft YaHei" w:hAnsi="Arial"/>
          <w:sz w:val="22"/>
          <w:szCs w:val="22"/>
        </w:rPr>
        <w:t xml:space="preserve">2. 按照EDPB Recommendations 01/2020六步法进行系统评估</w:t>
      </w:r>
    </w:p>
    <w:p>
      <w:pPr>
        <w:spacing w:after="40" w:before="40"/>
        <w:ind w:left="720" w:hanging="360"/>
      </w:pPr>
      <w:r>
        <w:rPr>
          <w:rFonts w:ascii="Arial" w:eastAsia="Microsoft YaHei" w:hAnsi="Arial"/>
          <w:sz w:val="22"/>
          <w:szCs w:val="22"/>
        </w:rPr>
        <w:t xml:space="preserve">3. TIA应涵盖：了解传输→识别传输工具→评估目的地法律→识别补充措施→实施步骤→定期复审</w:t>
      </w:r>
    </w:p>
    <w:p>
      <w:pPr>
        <w:spacing w:after="40" w:before="40"/>
        <w:ind w:left="720" w:hanging="360"/>
      </w:pPr>
      <w:r>
        <w:rPr>
          <w:rFonts w:ascii="Arial" w:eastAsia="Microsoft YaHei" w:hAnsi="Arial"/>
          <w:sz w:val="22"/>
          <w:szCs w:val="22"/>
        </w:rPr>
        <w:t xml:space="preserve">4. 建立TIA年度复审机制，关注目的地国法律变化和欧盟委员会适足性认定动态</w:t>
      </w:r>
    </w:p>
    <w:p>
      <w:pPr>
        <w:spacing w:before="80"/>
      </w:pPr>
    </w:p>
    <w:p>
      <w:pPr>
        <w:spacing w:after="60" w:before="140"/>
      </w:pPr>
      <w:r>
        <w:rPr>
          <w:rFonts w:ascii="Arial" w:eastAsia="Microsoft YaHei" w:hAnsi="Arial"/>
          <w:b/>
          <w:bCs/>
          <w:sz w:val="23"/>
          <w:szCs w:val="23"/>
        </w:rPr>
        <w:t xml:space="preserve">审查发现3：美国FISA 702风险评估缺失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条款定位</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全文——未评估美国政府数据访问法律</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原文引用</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"无相关评估"</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问题类型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目的地国法律风险未评估</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风险分析</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美国FISA Section 702授权情报机构对非美国人员进行批量数据收集，EO 12333涉及境外情报监控。AWS作为美国云服务商，可能被依据FISA 702要求提供数据访问。未评估这些法律对SCC有效性的影响，无法判断SCC是否能提供与欧盟等同的保护水平。</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法规依据</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Schrems II判决; EDPB Recommendations 01/2020 Step 3（评估第三国法律）; 美国FISA Section 702; EO 12333</w:t>
            </w:r>
          </w:p>
        </w:tc>
      </w:tr>
    </w:tbl>
    <w:p>
      <w:pPr>
        <w:spacing w:after="60" w:before="60"/>
      </w:pPr>
      <w:r>
        <w:rPr>
          <w:rFonts w:ascii="Arial" w:eastAsia="Microsoft YaHei" w:hAnsi="Arial"/>
          <w:b/>
          <w:bCs/>
          <w:sz w:val="22"/>
          <w:szCs w:val="22"/>
        </w:rPr>
        <w:t xml:space="preserve">修改建议：</w:t>
      </w:r>
    </w:p>
    <w:p>
      <w:pPr>
        <w:spacing w:after="40" w:before="40"/>
        <w:ind w:left="720" w:hanging="360"/>
      </w:pPr>
      <w:r>
        <w:rPr>
          <w:rFonts w:ascii="Arial" w:eastAsia="Microsoft YaHei" w:hAnsi="Arial"/>
          <w:sz w:val="22"/>
          <w:szCs w:val="22"/>
        </w:rPr>
        <w:t xml:space="preserve">1. 在TIA中重点分析FISA 702 Section 702和EO 12333对美国云服务商的影响范围</w:t>
      </w:r>
    </w:p>
    <w:p>
      <w:pPr>
        <w:spacing w:after="40" w:before="40"/>
        <w:ind w:left="720" w:hanging="360"/>
      </w:pPr>
      <w:r>
        <w:rPr>
          <w:rFonts w:ascii="Arial" w:eastAsia="Microsoft YaHei" w:hAnsi="Arial"/>
          <w:sz w:val="22"/>
          <w:szCs w:val="22"/>
        </w:rPr>
        <w:t xml:space="preserve">2. 确认AWS是否在FISA 702管辖范围内，以及是否提供透明度报告</w:t>
      </w:r>
    </w:p>
    <w:p>
      <w:pPr>
        <w:spacing w:after="40" w:before="40"/>
        <w:ind w:left="720" w:hanging="360"/>
      </w:pPr>
      <w:r>
        <w:rPr>
          <w:rFonts w:ascii="Arial" w:eastAsia="Microsoft YaHei" w:hAnsi="Arial"/>
          <w:sz w:val="22"/>
          <w:szCs w:val="22"/>
        </w:rPr>
        <w:t xml:space="preserve">3. 评估EU-US Data Privacy Framework（DPF）是否适用于AWS——若AWS已通过DPF认证，可考虑依据DPF进行传输；否则仍需SCC+TIA+补充措施</w:t>
      </w:r>
    </w:p>
    <w:p>
      <w:pPr>
        <w:spacing w:after="40" w:before="40"/>
        <w:ind w:left="720" w:hanging="360"/>
      </w:pPr>
      <w:r>
        <w:rPr>
          <w:rFonts w:ascii="Arial" w:eastAsia="Microsoft YaHei" w:hAnsi="Arial"/>
          <w:sz w:val="22"/>
          <w:szCs w:val="22"/>
        </w:rPr>
        <w:t xml:space="preserve">4. 若FISA 702风险无法通过SCC本身消除，须采取技术补充措施</w:t>
      </w:r>
    </w:p>
    <w:p>
      <w:pPr>
        <w:spacing w:before="80"/>
      </w:pPr>
    </w:p>
    <w:p>
      <w:pPr>
        <w:spacing w:after="60" w:before="140"/>
      </w:pPr>
      <w:r>
        <w:rPr>
          <w:rFonts w:ascii="Arial" w:eastAsia="Microsoft YaHei" w:hAnsi="Arial"/>
          <w:b/>
          <w:bCs/>
          <w:sz w:val="23"/>
          <w:szCs w:val="23"/>
        </w:rPr>
        <w:t xml:space="preserve">审查发现4：缺少技术补充措施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条款定位</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全文——仅有保密条款，无技术保障措施约定</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原文引用</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"供应商应采取合理措施保护客户数据的机密性"</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问题类型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补充措施缺失</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风险分析</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由于美国FISA 702风险存在，仅靠SCC可能无法提供与欧盟等同的保护水平。EDPB建议在评估后采取补充措施（技术性、合同性或组织性）。当前文件未约定任何补充措施，数据在AWS处以可被明文访问的状态。</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法规依据</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EDPB Recommendations 01/2020 Step 4（补充措施）; GDPR Art. 32（处理安全）</w:t>
            </w:r>
          </w:p>
        </w:tc>
      </w:tr>
    </w:tbl>
    <w:p>
      <w:pPr>
        <w:spacing w:after="60" w:before="60"/>
      </w:pPr>
      <w:r>
        <w:rPr>
          <w:rFonts w:ascii="Arial" w:eastAsia="Microsoft YaHei" w:hAnsi="Arial"/>
          <w:b/>
          <w:bCs/>
          <w:sz w:val="22"/>
          <w:szCs w:val="22"/>
        </w:rPr>
        <w:t xml:space="preserve">修改建议：</w:t>
      </w:r>
    </w:p>
    <w:p>
      <w:pPr>
        <w:spacing w:after="40" w:before="40"/>
        <w:ind w:left="720" w:hanging="360"/>
      </w:pPr>
      <w:r>
        <w:rPr>
          <w:rFonts w:ascii="Arial" w:eastAsia="Microsoft YaHei" w:hAnsi="Arial"/>
          <w:sz w:val="22"/>
          <w:szCs w:val="22"/>
        </w:rPr>
        <w:t xml:space="preserve">1. 对存储在AWS的所有敏感数据采用AES-256强加密，加密密钥由公司自行管理（BYOK），确保AWS无法明文访问数据</w:t>
      </w:r>
    </w:p>
    <w:p>
      <w:pPr>
        <w:spacing w:after="40" w:before="40"/>
        <w:ind w:left="720" w:hanging="360"/>
      </w:pPr>
      <w:r>
        <w:rPr>
          <w:rFonts w:ascii="Arial" w:eastAsia="Microsoft YaHei" w:hAnsi="Arial"/>
          <w:sz w:val="22"/>
          <w:szCs w:val="22"/>
        </w:rPr>
        <w:t xml:space="preserve">2. 对用户数据进行假名化处理，将直接标识符与业务数据分离存储</w:t>
      </w:r>
    </w:p>
    <w:p>
      <w:pPr>
        <w:spacing w:after="40" w:before="40"/>
        <w:ind w:left="720" w:hanging="360"/>
      </w:pPr>
      <w:r>
        <w:rPr>
          <w:rFonts w:ascii="Arial" w:eastAsia="Microsoft YaHei" w:hAnsi="Arial"/>
          <w:sz w:val="22"/>
          <w:szCs w:val="22"/>
        </w:rPr>
        <w:t xml:space="preserve">3. 在SCC附件或商业协议补充条款中明确约定技术补充措施的实施标准和责任分配</w:t>
      </w:r>
    </w:p>
    <w:p>
      <w:pPr>
        <w:spacing w:after="40" w:before="40"/>
        <w:ind w:left="720" w:hanging="360"/>
      </w:pPr>
      <w:r>
        <w:rPr>
          <w:rFonts w:ascii="Arial" w:eastAsia="Microsoft YaHei" w:hAnsi="Arial"/>
          <w:sz w:val="22"/>
          <w:szCs w:val="22"/>
        </w:rPr>
        <w:t xml:space="preserve">4. 实施访问控制和审计日志，监控对加密数据的访问行为</w:t>
      </w:r>
    </w:p>
    <w:p>
      <w:pPr>
        <w:spacing w:before="80"/>
      </w:pPr>
    </w:p>
    <w:p>
      <w:pPr>
        <w:pStyle w:val="Heading2"/>
        <w:spacing w:after="100" w:before="200"/>
      </w:pPr>
      <w:r>
        <w:rPr>
          <w:rFonts w:ascii="Arial" w:eastAsia="Microsoft YaHei" w:hAnsi="Arial"/>
          <w:b/>
          <w:bCs/>
          <w:sz w:val="26"/>
          <w:szCs w:val="26"/>
        </w:rPr>
        <w:t xml:space="preserve">三、备注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噪声类型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误导、缺失</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难度等级</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中等</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覆盖场景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SCC模块选择、FISA 702评估、TIA要求</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适用法域</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欧盟</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24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00" w:before="200"/>
      <w:outlineLvl w:val="1"/>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2026-07-30T16:17:25.698Z</dcterms:created>
  <dcterms:modified xsi:type="dcterms:W3CDTF">2026-07-30T16:17:25.699Z</dcterms:modified>
</cp:coreProperties>
</file>

<file path=docProps/custom.xml><?xml version="1.0" encoding="utf-8"?>
<Properties xmlns="http://schemas.openxmlformats.org/officeDocument/2006/custom-properties" xmlns:vt="http://schemas.openxmlformats.org/officeDocument/2006/docPropsVTypes"/>
</file>