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100"/>
      </w:pPr>
      <w:r>
        <w:rPr>
          <w:rFonts w:ascii="Arial" w:eastAsia="Microsoft YaHei" w:hAnsi="Arial"/>
          <w:b/>
          <w:bCs/>
          <w:sz w:val="32"/>
          <w:szCs w:val="32"/>
        </w:rPr>
        <w:t xml:space="preserve">任务7 案例2：法国SaaS公司DSAR处理流程</w:t>
      </w:r>
    </w:p>
    <w:p>
      <w:pPr>
        <w:pStyle w:val="Heading2"/>
        <w:spacing w:after="100" w:before="200"/>
      </w:pPr>
      <w:r>
        <w:rPr>
          <w:rFonts w:ascii="Arial" w:eastAsia="Microsoft YaHei" w:hAnsi="Arial"/>
          <w:b/>
          <w:bCs/>
          <w:sz w:val="26"/>
          <w:szCs w:val="26"/>
        </w:rPr>
        <w:t xml:space="preserve">一、用户输入</w:t>
      </w:r>
    </w:p>
    <w:p>
      <w:pPr>
        <w:spacing w:after="60" w:before="60"/>
      </w:pPr>
      <w:r>
        <w:rPr>
          <w:rFonts w:ascii="Arial" w:eastAsia="Microsoft YaHei" w:hAnsi="Arial"/>
          <w:sz w:val="22"/>
          <w:szCs w:val="22"/>
        </w:rPr>
        <w:t xml:space="preserve">【数规通系统填写 — GDPR合规诊断表单（七项信息）】</w:t>
      </w:r>
    </w:p>
    <w:p>
      <w:pPr>
        <w:spacing w:after="60" w:before="140"/>
      </w:pPr>
      <w:r>
        <w:rPr>
          <w:rFonts w:ascii="Arial" w:eastAsia="Microsoft YaHei" w:hAnsi="Arial"/>
          <w:b/>
          <w:bCs/>
          <w:sz w:val="23"/>
          <w:szCs w:val="23"/>
        </w:rPr>
        <w:t xml:space="preserve">1. 识别需求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项目名称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法国某SaaS公司数据主体访问请求(DSAR)处理流程建立</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项目目标</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建立DSAR接收和处理标准化流程</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需DPIA的理由</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处理大量用户个人数据，DSAR流程涉及数据验证和披露</w:t>
            </w:r>
          </w:p>
        </w:tc>
      </w:tr>
    </w:tbl>
    <w:p>
      <w:pPr>
        <w:spacing w:after="60" w:before="140"/>
      </w:pPr>
      <w:r>
        <w:rPr>
          <w:rFonts w:ascii="Arial" w:eastAsia="Microsoft YaHei" w:hAnsi="Arial"/>
          <w:b/>
          <w:bCs/>
          <w:sz w:val="23"/>
          <w:szCs w:val="23"/>
        </w:rPr>
        <w:t xml:space="preserve">2. 描述处理活动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处理流程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用户提交DSAR→客服初步审核→IT部门提取数据→法务审核→回复用户</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数据类型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用户账户信息、使用记录、支持工单、计费数据</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是否特殊类别</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否</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数据主体数量</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约10万企业用户</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保留期限</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账户关闭后保留3年</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是否跨境传输</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否（数据存储于欧盟境内）</w:t>
            </w:r>
          </w:p>
        </w:tc>
      </w:tr>
    </w:tbl>
    <w:p>
      <w:pPr>
        <w:spacing w:after="60" w:before="140"/>
      </w:pPr>
      <w:r>
        <w:rPr>
          <w:rFonts w:ascii="Arial" w:eastAsia="Microsoft YaHei" w:hAnsi="Arial"/>
          <w:b/>
          <w:bCs/>
          <w:sz w:val="23"/>
          <w:szCs w:val="23"/>
        </w:rPr>
        <w:t xml:space="preserve">3. 咨询过程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内部部门</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客服、IT、法务</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外部专家</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未咨询</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数据主体意见</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未征求</w:t>
            </w:r>
          </w:p>
        </w:tc>
      </w:tr>
    </w:tbl>
    <w:p>
      <w:pPr>
        <w:spacing w:after="60" w:before="140"/>
      </w:pPr>
      <w:r>
        <w:rPr>
          <w:rFonts w:ascii="Arial" w:eastAsia="Microsoft YaHei" w:hAnsi="Arial"/>
          <w:b/>
          <w:bCs/>
          <w:sz w:val="23"/>
          <w:szCs w:val="23"/>
        </w:rPr>
        <w:t xml:space="preserve">4. 必要性与相称性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合法性基础</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GDPR第6(1)(b)条（合同履行）</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是否必需</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是——法律义务（GDPR第12-22条数据主体权利）</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向数据主体提供的信息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隐私政策中提及数据主体权利</w:t>
            </w:r>
          </w:p>
        </w:tc>
      </w:tr>
    </w:tbl>
    <w:p>
      <w:pPr>
        <w:spacing w:after="60" w:before="140"/>
      </w:pPr>
      <w:r>
        <w:rPr>
          <w:rFonts w:ascii="Arial" w:eastAsia="Microsoft YaHei" w:hAnsi="Arial"/>
          <w:b/>
          <w:bCs/>
          <w:sz w:val="23"/>
          <w:szCs w:val="23"/>
        </w:rPr>
        <w:t xml:space="preserve">5. 识别与评估风险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风险列表</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未系统识别</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可能性</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未评估</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严重性</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未评估</w:t>
            </w:r>
          </w:p>
        </w:tc>
      </w:tr>
    </w:tbl>
    <w:p>
      <w:pPr>
        <w:spacing w:after="60" w:before="140"/>
      </w:pPr>
      <w:r>
        <w:rPr>
          <w:rFonts w:ascii="Arial" w:eastAsia="Microsoft YaHei" w:hAnsi="Arial"/>
          <w:b/>
          <w:bCs/>
          <w:sz w:val="23"/>
          <w:szCs w:val="23"/>
        </w:rPr>
        <w:t xml:space="preserve">6. 降低风险的措施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高风险措施</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未制定</w:t>
            </w:r>
          </w:p>
        </w:tc>
      </w:tr>
    </w:tbl>
    <w:p>
      <w:pPr>
        <w:spacing w:after="60" w:before="140"/>
      </w:pPr>
      <w:r>
        <w:rPr>
          <w:rFonts w:ascii="Arial" w:eastAsia="Microsoft YaHei" w:hAnsi="Arial"/>
          <w:b/>
          <w:bCs/>
          <w:sz w:val="23"/>
          <w:szCs w:val="23"/>
        </w:rPr>
        <w:t xml:space="preserve">7. 签署与记录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DPIA负责人</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未指定</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DPO意见</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未征求</w:t>
            </w:r>
          </w:p>
        </w:tc>
      </w:tr>
    </w:tbl>
    <w:p>
      <w:pPr>
        <w:pStyle w:val="Heading2"/>
        <w:spacing w:after="100" w:before="200"/>
      </w:pPr>
      <w:r>
        <w:rPr>
          <w:rFonts w:ascii="Arial" w:eastAsia="Microsoft YaHei" w:hAnsi="Arial"/>
          <w:b/>
          <w:bCs/>
          <w:sz w:val="26"/>
          <w:szCs w:val="26"/>
        </w:rPr>
        <w:t xml:space="preserve">二、标准答案（即系统输出）</w:t>
      </w:r>
    </w:p>
    <w:p>
      <w:pPr>
        <w:spacing w:after="60" w:before="140"/>
      </w:pPr>
      <w:r>
        <w:rPr>
          <w:rFonts w:ascii="Arial" w:eastAsia="Microsoft YaHei" w:hAnsi="Arial"/>
          <w:b/>
          <w:bCs/>
          <w:sz w:val="23"/>
          <w:szCs w:val="23"/>
        </w:rPr>
        <w:t xml:space="preserve">《数据保护影响评估（DPIA）草案》</w:t>
      </w:r>
    </w:p>
    <w:p>
      <w:pPr>
        <w:spacing w:after="60" w:before="60"/>
      </w:pPr>
      <w:r>
        <w:rPr>
          <w:rFonts w:ascii="Arial" w:eastAsia="Microsoft YaHei" w:hAnsi="Arial"/>
          <w:sz w:val="22"/>
          <w:szCs w:val="22"/>
        </w:rPr>
        <w:t xml:space="preserve">本DPIA草案遵循GDPR第35条及EDPB WP248 rev.01指引。核心发现：上传方缺失GDPR第12(3)条规定的一个月响应时限要求，且上传方暗示"可以拒绝或无限期延期"DSAR请求，这严重违反GDPR。DSAR处理须在一个月内完成（复杂请求最多延期两个月），且拒绝须基于法定理由并告知数据主体救济途径。</w:t>
      </w:r>
    </w:p>
    <w:p>
      <w:pPr>
        <w:spacing w:before="80"/>
      </w:pPr>
    </w:p>
    <w:p>
      <w:pPr>
        <w:spacing w:after="60" w:before="140"/>
      </w:pPr>
      <w:r>
        <w:rPr>
          <w:rFonts w:ascii="Arial" w:eastAsia="Microsoft YaHei" w:hAnsi="Arial"/>
          <w:b/>
          <w:bCs/>
          <w:sz w:val="23"/>
          <w:szCs w:val="23"/>
        </w:rPr>
        <w:t xml:space="preserve">一、处理活动描述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处理者</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法国某SaaS公司（数据控制者）</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处理目的</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响应数据主体行使GDPR第15-22条权利的请求</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数据类型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用户账户信息、使用记录、支持工单、计费数据</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数据主体</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约10万企业用户</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保留期限</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账户关闭后保留3年</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跨境传输</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无（数据存储于欧盟境内）</w:t>
            </w:r>
          </w:p>
        </w:tc>
      </w:tr>
    </w:tbl>
    <w:p>
      <w:pPr>
        <w:spacing w:before="80"/>
      </w:pPr>
    </w:p>
    <w:p>
      <w:pPr>
        <w:spacing w:after="60" w:before="60"/>
      </w:pPr>
      <w:r>
        <w:rPr>
          <w:rFonts w:ascii="Arial" w:eastAsia="Microsoft YaHei" w:hAnsi="Arial"/>
          <w:b/>
          <w:bCs/>
          <w:sz w:val="22"/>
          <w:szCs w:val="22"/>
        </w:rPr>
        <w:t xml:space="preserve">关键缺失：</w:t>
      </w:r>
    </w:p>
    <w:p>
      <w:pPr>
        <w:spacing w:after="40" w:before="40"/>
        <w:ind w:left="720" w:hanging="360"/>
      </w:pPr>
      <w:r>
        <w:rPr>
          <w:rFonts w:ascii="Arial" w:eastAsia="Microsoft YaHei" w:hAnsi="Arial"/>
          <w:sz w:val="22"/>
          <w:szCs w:val="22"/>
        </w:rPr>
        <w:t xml:space="preserve">1. 响应时限未定义——未设定GDPR第12(3)条要求的一个月响应时限</w:t>
      </w:r>
    </w:p>
    <w:p>
      <w:pPr>
        <w:spacing w:after="40" w:before="40"/>
        <w:ind w:left="720" w:hanging="360"/>
      </w:pPr>
      <w:r>
        <w:rPr>
          <w:rFonts w:ascii="Arial" w:eastAsia="Microsoft YaHei" w:hAnsi="Arial"/>
          <w:sz w:val="22"/>
          <w:szCs w:val="22"/>
        </w:rPr>
        <w:t xml:space="preserve">2. 延期机制未建立——复杂请求最多延期两个月，须在第一个月内告知数据主体</w:t>
      </w:r>
    </w:p>
    <w:p>
      <w:pPr>
        <w:spacing w:after="40" w:before="40"/>
        <w:ind w:left="720" w:hanging="360"/>
      </w:pPr>
      <w:r>
        <w:rPr>
          <w:rFonts w:ascii="Arial" w:eastAsia="Microsoft YaHei" w:hAnsi="Arial"/>
          <w:sz w:val="22"/>
          <w:szCs w:val="22"/>
        </w:rPr>
        <w:t xml:space="preserve">3. 拒绝标准未明确——拒绝DSAR须基于GDPR规定的法定理由，不能任意拒绝</w:t>
      </w:r>
    </w:p>
    <w:p>
      <w:pPr>
        <w:spacing w:after="60" w:before="140"/>
      </w:pPr>
      <w:r>
        <w:rPr>
          <w:rFonts w:ascii="Arial" w:eastAsia="Microsoft YaHei" w:hAnsi="Arial"/>
          <w:b/>
          <w:bCs/>
          <w:sz w:val="23"/>
          <w:szCs w:val="23"/>
        </w:rPr>
        <w:t xml:space="preserve">二、必要性与相称性评估</w:t>
      </w:r>
    </w:p>
    <w:p>
      <w:pPr>
        <w:spacing w:after="60" w:before="60"/>
      </w:pPr>
      <w:r>
        <w:rPr>
          <w:rFonts w:ascii="Arial" w:eastAsia="Microsoft YaHei" w:hAnsi="Arial"/>
          <w:b/>
          <w:bCs/>
          <w:sz w:val="22"/>
          <w:szCs w:val="22"/>
        </w:rPr>
        <w:t xml:space="preserve">1. 响应时限分析（核心纠正）</w:t>
      </w:r>
    </w:p>
    <w:p>
      <w:pPr>
        <w:spacing w:after="60" w:before="60"/>
      </w:pPr>
      <w:r>
        <w:rPr>
          <w:rFonts w:ascii="Arial" w:eastAsia="Microsoft YaHei" w:hAnsi="Arial"/>
          <w:sz w:val="22"/>
          <w:szCs w:val="22"/>
        </w:rPr>
        <w:t xml:space="preserve">上传方暗示"可以拒绝或无限期延期"的认知严重违反GDPR。根据GDPR第12(3)条：</w:t>
      </w:r>
    </w:p>
    <w:p>
      <w:pPr>
        <w:spacing w:after="40" w:before="40"/>
        <w:ind w:left="720" w:hanging="360"/>
      </w:pPr>
      <w:r>
        <w:rPr>
          <w:rFonts w:ascii="Arial" w:eastAsia="Microsoft YaHei" w:hAnsi="Arial"/>
          <w:sz w:val="22"/>
          <w:szCs w:val="22"/>
        </w:rPr>
        <w:t xml:space="preserve">1. 控制者须"无不当延迟"且在收到请求后一个月内向数据主体提供信息</w:t>
      </w:r>
    </w:p>
    <w:p>
      <w:pPr>
        <w:spacing w:after="40" w:before="40"/>
        <w:ind w:left="720" w:hanging="360"/>
      </w:pPr>
      <w:r>
        <w:rPr>
          <w:rFonts w:ascii="Arial" w:eastAsia="Microsoft YaHei" w:hAnsi="Arial"/>
          <w:sz w:val="22"/>
          <w:szCs w:val="22"/>
        </w:rPr>
        <w:t xml:space="preserve">2. 如因请求复杂或请求数量多，控制者可再延长两个月——但须在收到请求后一个月内向数据主体说明延期原因</w:t>
      </w:r>
    </w:p>
    <w:p>
      <w:pPr>
        <w:spacing w:after="40" w:before="40"/>
        <w:ind w:left="720" w:hanging="360"/>
      </w:pPr>
      <w:r>
        <w:rPr>
          <w:rFonts w:ascii="Arial" w:eastAsia="Microsoft YaHei" w:hAnsi="Arial"/>
          <w:sz w:val="22"/>
          <w:szCs w:val="22"/>
        </w:rPr>
        <w:t xml:space="preserve">3. 延期不是无限的：最多一个月+两个月=三个月，且须有正当理由</w:t>
      </w:r>
    </w:p>
    <w:p>
      <w:pPr>
        <w:spacing w:after="40" w:before="40"/>
        <w:ind w:left="720" w:hanging="360"/>
      </w:pPr>
      <w:r>
        <w:rPr>
          <w:rFonts w:ascii="Arial" w:eastAsia="Microsoft YaHei" w:hAnsi="Arial"/>
          <w:sz w:val="22"/>
          <w:szCs w:val="22"/>
        </w:rPr>
        <w:t xml:space="preserve">4. 若控制者不采取行动，须在收到请求后一个月内向数据主体说明不采取行动的原因及向监管机构申诉的权利</w:t>
      </w:r>
    </w:p>
    <w:p>
      <w:pPr>
        <w:spacing w:after="60" w:before="60"/>
      </w:pPr>
      <w:r>
        <w:rPr>
          <w:rFonts w:ascii="Arial" w:eastAsia="Microsoft YaHei" w:hAnsi="Arial"/>
          <w:b/>
          <w:bCs/>
          <w:sz w:val="22"/>
          <w:szCs w:val="22"/>
        </w:rPr>
        <w:t xml:space="preserve">2. 拒绝权限制</w:t>
      </w:r>
    </w:p>
    <w:p>
      <w:pPr>
        <w:spacing w:after="60" w:before="60"/>
      </w:pPr>
      <w:r>
        <w:rPr>
          <w:rFonts w:ascii="Arial" w:eastAsia="Microsoft YaHei" w:hAnsi="Arial"/>
          <w:sz w:val="22"/>
          <w:szCs w:val="22"/>
        </w:rPr>
        <w:t xml:space="preserve">DSAR不能被任意拒绝。拒绝须基于GDPR规定的法定理由：</w:t>
      </w:r>
    </w:p>
    <w:p>
      <w:pPr>
        <w:spacing w:after="40" w:before="40"/>
        <w:ind w:left="720" w:hanging="360"/>
      </w:pPr>
      <w:r>
        <w:rPr>
          <w:rFonts w:ascii="Arial" w:eastAsia="Microsoft YaHei" w:hAnsi="Arial"/>
          <w:sz w:val="22"/>
          <w:szCs w:val="22"/>
        </w:rPr>
        <w:t xml:space="preserve">1. 第12(5)条：请求明显无依据或过分（如重复请求）时可收取合理费用或拒绝</w:t>
      </w:r>
    </w:p>
    <w:p>
      <w:pPr>
        <w:spacing w:after="40" w:before="40"/>
        <w:ind w:left="720" w:hanging="360"/>
      </w:pPr>
      <w:r>
        <w:rPr>
          <w:rFonts w:ascii="Arial" w:eastAsia="Microsoft YaHei" w:hAnsi="Arial"/>
          <w:sz w:val="22"/>
          <w:szCs w:val="22"/>
        </w:rPr>
        <w:t xml:space="preserve">2. 第15(4)条：访问权不影响他人权利和自由</w:t>
      </w:r>
    </w:p>
    <w:p>
      <w:pPr>
        <w:spacing w:after="40" w:before="40"/>
        <w:ind w:left="720" w:hanging="360"/>
      </w:pPr>
      <w:r>
        <w:rPr>
          <w:rFonts w:ascii="Arial" w:eastAsia="Microsoft YaHei" w:hAnsi="Arial"/>
          <w:sz w:val="22"/>
          <w:szCs w:val="22"/>
        </w:rPr>
        <w:t xml:space="preserve">3. 第23条：成员国可限制特定情形下的数据主体权利</w:t>
      </w:r>
    </w:p>
    <w:p>
      <w:pPr>
        <w:spacing w:after="40" w:before="40"/>
        <w:ind w:left="720" w:hanging="360"/>
      </w:pPr>
      <w:r>
        <w:rPr>
          <w:rFonts w:ascii="Arial" w:eastAsia="Microsoft YaHei" w:hAnsi="Arial"/>
          <w:sz w:val="22"/>
          <w:szCs w:val="22"/>
        </w:rPr>
        <w:t xml:space="preserve">4. 拒绝时须依据第12(4)条在一个月内告知数据主体拒绝原因及救济途径（向监管机构投诉、向法院寻求司法救济）</w:t>
      </w:r>
    </w:p>
    <w:p>
      <w:pPr>
        <w:spacing w:after="60" w:before="60"/>
      </w:pPr>
      <w:r>
        <w:rPr>
          <w:rFonts w:ascii="Arial" w:eastAsia="Microsoft YaHei" w:hAnsi="Arial"/>
          <w:b/>
          <w:bCs/>
          <w:sz w:val="22"/>
          <w:szCs w:val="22"/>
        </w:rPr>
        <w:t xml:space="preserve">3. 身份验证的相称性</w:t>
      </w:r>
    </w:p>
    <w:p>
      <w:pPr>
        <w:spacing w:after="60" w:before="60"/>
      </w:pPr>
      <w:r>
        <w:rPr>
          <w:rFonts w:ascii="Arial" w:eastAsia="Microsoft YaHei" w:hAnsi="Arial"/>
          <w:sz w:val="22"/>
          <w:szCs w:val="22"/>
        </w:rPr>
        <w:t xml:space="preserve">请求处理前须验证数据主体身份，但验证方式须与处理目的相称——不能要求提供超出必要的身份证明文件（第12(6)条）。</w:t>
      </w:r>
    </w:p>
    <w:p>
      <w:pPr>
        <w:spacing w:after="60" w:before="140"/>
      </w:pPr>
      <w:r>
        <w:rPr>
          <w:rFonts w:ascii="Arial" w:eastAsia="Microsoft YaHei" w:hAnsi="Arial"/>
          <w:b/>
          <w:bCs/>
          <w:sz w:val="23"/>
          <w:szCs w:val="23"/>
        </w:rPr>
        <w:t xml:space="preserve">三、风险识别与评估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风险1：超过法定响应时限</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可能性：高 | 严重性：高 | 风险等级：高</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风险2：不当拒绝DSAR请求</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可能性：中 | 严重性：高 | 风险等级：高</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风险3：身份验证过度收集数据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可能性：中 | 严重性：中 | 风险等级：中</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风险4：向错误的人披露数据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可能性：低 | 严重性：高 | 风险等级：中</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风险5：未记录DSAR处理过程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可能性：高 | 严重性：中 | 风险等级：中</w:t>
            </w:r>
          </w:p>
        </w:tc>
      </w:tr>
    </w:tbl>
    <w:p>
      <w:pPr>
        <w:spacing w:before="80"/>
      </w:pPr>
    </w:p>
    <w:p>
      <w:pPr>
        <w:spacing w:after="60" w:before="60"/>
      </w:pPr>
      <w:r>
        <w:rPr>
          <w:rFonts w:ascii="Arial" w:eastAsia="Microsoft YaHei" w:hAnsi="Arial"/>
          <w:sz w:val="22"/>
          <w:szCs w:val="22"/>
        </w:rPr>
        <w:t xml:space="preserve">风险1详述：未设定一个月响应时限，可能导致系统性超期。法国CNIL可对超期响应处以行政罚款，最高2000万欧元或全球营业额4%。</w:t>
      </w:r>
    </w:p>
    <w:p>
      <w:pPr>
        <w:spacing w:after="60" w:before="60"/>
      </w:pPr>
      <w:r>
        <w:rPr>
          <w:rFonts w:ascii="Arial" w:eastAsia="Microsoft YaHei" w:hAnsi="Arial"/>
          <w:sz w:val="22"/>
          <w:szCs w:val="22"/>
        </w:rPr>
        <w:t xml:space="preserve">风险2详述："可以拒绝或无限期延期"可能导致不当拒绝。GDPR对拒绝有严格限制，不当拒绝构成违反数据主体权利。</w:t>
      </w:r>
    </w:p>
    <w:p>
      <w:pPr>
        <w:spacing w:after="60" w:before="140"/>
      </w:pPr>
      <w:r>
        <w:rPr>
          <w:rFonts w:ascii="Arial" w:eastAsia="Microsoft YaHei" w:hAnsi="Arial"/>
          <w:b/>
          <w:bCs/>
          <w:sz w:val="23"/>
          <w:szCs w:val="23"/>
        </w:rPr>
        <w:t xml:space="preserve">四、降低风险的措施</w:t>
      </w:r>
    </w:p>
    <w:p>
      <w:pPr>
        <w:spacing w:after="60" w:before="60"/>
      </w:pPr>
      <w:r>
        <w:rPr>
          <w:rFonts w:ascii="Arial" w:eastAsia="Microsoft YaHei" w:hAnsi="Arial"/>
          <w:b/>
          <w:bCs/>
          <w:sz w:val="22"/>
          <w:szCs w:val="22"/>
        </w:rPr>
        <w:t xml:space="preserve">措施1：建立时限管理流程</w:t>
      </w:r>
    </w:p>
    <w:p>
      <w:pPr>
        <w:spacing w:after="40" w:before="40"/>
        <w:ind w:left="720" w:hanging="360"/>
      </w:pPr>
      <w:r>
        <w:rPr>
          <w:rFonts w:ascii="Arial" w:eastAsia="Microsoft YaHei" w:hAnsi="Arial"/>
          <w:sz w:val="22"/>
          <w:szCs w:val="22"/>
        </w:rPr>
        <w:t xml:space="preserve">1. 在DSAR收到后立即启动一个月倒计时计时器</w:t>
      </w:r>
    </w:p>
    <w:p>
      <w:pPr>
        <w:spacing w:after="40" w:before="40"/>
        <w:ind w:left="720" w:hanging="360"/>
      </w:pPr>
      <w:r>
        <w:rPr>
          <w:rFonts w:ascii="Arial" w:eastAsia="Microsoft YaHei" w:hAnsi="Arial"/>
          <w:sz w:val="22"/>
          <w:szCs w:val="22"/>
        </w:rPr>
        <w:t xml:space="preserve">2. 设定内部里程碑：第1周完成身份验证和请求分类，第2-3周完成数据提取和审核，第4周完成回复发送</w:t>
      </w:r>
    </w:p>
    <w:p>
      <w:pPr>
        <w:spacing w:after="40" w:before="40"/>
        <w:ind w:left="720" w:hanging="360"/>
      </w:pPr>
      <w:r>
        <w:rPr>
          <w:rFonts w:ascii="Arial" w:eastAsia="Microsoft YaHei" w:hAnsi="Arial"/>
          <w:sz w:val="22"/>
          <w:szCs w:val="22"/>
        </w:rPr>
        <w:t xml:space="preserve">3. 如需延期，在第一个月届满前向数据主体发送延期通知，说明延期原因（复杂请求/数量多）</w:t>
      </w:r>
    </w:p>
    <w:p>
      <w:pPr>
        <w:spacing w:after="40" w:before="40"/>
        <w:ind w:left="720" w:hanging="360"/>
      </w:pPr>
      <w:r>
        <w:rPr>
          <w:rFonts w:ascii="Arial" w:eastAsia="Microsoft YaHei" w:hAnsi="Arial"/>
          <w:sz w:val="22"/>
          <w:szCs w:val="22"/>
        </w:rPr>
        <w:t xml:space="preserve">4. 延期最长不超过两个月，总响应时间不超过三个月</w:t>
      </w:r>
    </w:p>
    <w:p>
      <w:pPr>
        <w:spacing w:after="60" w:before="60"/>
      </w:pPr>
      <w:r>
        <w:rPr>
          <w:rFonts w:ascii="Arial" w:eastAsia="Microsoft YaHei" w:hAnsi="Arial"/>
          <w:b/>
          <w:bCs/>
          <w:sz w:val="22"/>
          <w:szCs w:val="22"/>
        </w:rPr>
        <w:t xml:space="preserve">措施2：制定拒绝标准和流程</w:t>
      </w:r>
    </w:p>
    <w:p>
      <w:pPr>
        <w:spacing w:after="40" w:before="40"/>
        <w:ind w:left="720" w:hanging="360"/>
      </w:pPr>
      <w:r>
        <w:rPr>
          <w:rFonts w:ascii="Arial" w:eastAsia="Microsoft YaHei" w:hAnsi="Arial"/>
          <w:sz w:val="22"/>
          <w:szCs w:val="22"/>
        </w:rPr>
        <w:t xml:space="preserve">1. 明确可拒绝的法定情形：明显无依据、过分重复、影响他人权利等</w:t>
      </w:r>
    </w:p>
    <w:p>
      <w:pPr>
        <w:spacing w:after="40" w:before="40"/>
        <w:ind w:left="720" w:hanging="360"/>
      </w:pPr>
      <w:r>
        <w:rPr>
          <w:rFonts w:ascii="Arial" w:eastAsia="Microsoft YaHei" w:hAnsi="Arial"/>
          <w:sz w:val="22"/>
          <w:szCs w:val="22"/>
        </w:rPr>
        <w:t xml:space="preserve">2. 拒绝决定须经法务/DPO审核，不能由客服单方面决定</w:t>
      </w:r>
    </w:p>
    <w:p>
      <w:pPr>
        <w:spacing w:after="40" w:before="40"/>
        <w:ind w:left="720" w:hanging="360"/>
      </w:pPr>
      <w:r>
        <w:rPr>
          <w:rFonts w:ascii="Arial" w:eastAsia="Microsoft YaHei" w:hAnsi="Arial"/>
          <w:sz w:val="22"/>
          <w:szCs w:val="22"/>
        </w:rPr>
        <w:t xml:space="preserve">3. 拒绝时须依据第12(4)条告知数据主体：拒绝原因、向监管机构投诉的权利、向法院寻求司法救济的权利</w:t>
      </w:r>
    </w:p>
    <w:p>
      <w:pPr>
        <w:spacing w:after="40" w:before="40"/>
        <w:ind w:left="720" w:hanging="360"/>
      </w:pPr>
      <w:r>
        <w:rPr>
          <w:rFonts w:ascii="Arial" w:eastAsia="Microsoft YaHei" w:hAnsi="Arial"/>
          <w:sz w:val="22"/>
          <w:szCs w:val="22"/>
        </w:rPr>
        <w:t xml:space="preserve">4. 记录拒绝决定及理由，以备监管机构审查</w:t>
      </w:r>
    </w:p>
    <w:p>
      <w:pPr>
        <w:spacing w:after="60" w:before="60"/>
      </w:pPr>
      <w:r>
        <w:rPr>
          <w:rFonts w:ascii="Arial" w:eastAsia="Microsoft YaHei" w:hAnsi="Arial"/>
          <w:b/>
          <w:bCs/>
          <w:sz w:val="22"/>
          <w:szCs w:val="22"/>
        </w:rPr>
        <w:t xml:space="preserve">措施3：身份验证相称性</w:t>
      </w:r>
    </w:p>
    <w:p>
      <w:pPr>
        <w:spacing w:after="40" w:before="40"/>
        <w:ind w:left="720" w:hanging="360"/>
      </w:pPr>
      <w:r>
        <w:rPr>
          <w:rFonts w:ascii="Arial" w:eastAsia="Microsoft YaHei" w:hAnsi="Arial"/>
          <w:sz w:val="22"/>
          <w:szCs w:val="22"/>
        </w:rPr>
        <w:t xml:space="preserve">1. 优先通过账户系统内已验证的身份进行确认（如登录验证）</w:t>
      </w:r>
    </w:p>
    <w:p>
      <w:pPr>
        <w:spacing w:after="40" w:before="40"/>
        <w:ind w:left="720" w:hanging="360"/>
      </w:pPr>
      <w:r>
        <w:rPr>
          <w:rFonts w:ascii="Arial" w:eastAsia="Microsoft YaHei" w:hAnsi="Arial"/>
          <w:sz w:val="22"/>
          <w:szCs w:val="22"/>
        </w:rPr>
        <w:t xml:space="preserve">2. 仅在合理怀疑身份时要求额外身份证明</w:t>
      </w:r>
    </w:p>
    <w:p>
      <w:pPr>
        <w:spacing w:after="40" w:before="40"/>
        <w:ind w:left="720" w:hanging="360"/>
      </w:pPr>
      <w:r>
        <w:rPr>
          <w:rFonts w:ascii="Arial" w:eastAsia="Microsoft YaHei" w:hAnsi="Arial"/>
          <w:sz w:val="22"/>
          <w:szCs w:val="22"/>
        </w:rPr>
        <w:t xml:space="preserve">3. 不要求超出必要的身份文件（如不要因DSAR要求提供护照扫描件）</w:t>
      </w:r>
    </w:p>
    <w:p>
      <w:pPr>
        <w:spacing w:after="60" w:before="60"/>
      </w:pPr>
      <w:r>
        <w:rPr>
          <w:rFonts w:ascii="Arial" w:eastAsia="Microsoft YaHei" w:hAnsi="Arial"/>
          <w:b/>
          <w:bCs/>
          <w:sz w:val="22"/>
          <w:szCs w:val="22"/>
        </w:rPr>
        <w:t xml:space="preserve">措施4：记录与可追溯</w:t>
      </w:r>
    </w:p>
    <w:p>
      <w:pPr>
        <w:spacing w:after="40" w:before="40"/>
        <w:ind w:left="720" w:hanging="360"/>
      </w:pPr>
      <w:r>
        <w:rPr>
          <w:rFonts w:ascii="Arial" w:eastAsia="Microsoft YaHei" w:hAnsi="Arial"/>
          <w:sz w:val="22"/>
          <w:szCs w:val="22"/>
        </w:rPr>
        <w:t xml:space="preserve">1. 建立DSAR台账：记录收到日期、请求类型、处理状态、回复日期、是否延期/拒绝及理由</w:t>
      </w:r>
    </w:p>
    <w:p>
      <w:pPr>
        <w:spacing w:after="40" w:before="40"/>
        <w:ind w:left="720" w:hanging="360"/>
      </w:pPr>
      <w:r>
        <w:rPr>
          <w:rFonts w:ascii="Arial" w:eastAsia="Microsoft YaHei" w:hAnsi="Arial"/>
          <w:sz w:val="22"/>
          <w:szCs w:val="22"/>
        </w:rPr>
        <w:t xml:space="preserve">2. 保存DSAR处理记录至少3年以证明合规</w:t>
      </w:r>
    </w:p>
    <w:p>
      <w:pPr>
        <w:spacing w:after="60" w:before="140"/>
      </w:pPr>
      <w:r>
        <w:rPr>
          <w:rFonts w:ascii="Arial" w:eastAsia="Microsoft YaHei" w:hAnsi="Arial"/>
          <w:b/>
          <w:bCs/>
          <w:sz w:val="23"/>
          <w:szCs w:val="23"/>
        </w:rPr>
        <w:t xml:space="preserve">五、签署与记录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DPIA负责人</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须指定（建议由DPO担任）</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DPO意见</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建议DPO审查并签署：当前DSAR流程缺失法定时限管理，须在建立时限流程后方可实施</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审查日期</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须在整改完成后签署</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下次复审</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12个月后或DSAR流程变更时</w:t>
            </w:r>
          </w:p>
        </w:tc>
      </w:tr>
    </w:tbl>
    <w:p>
      <w:pPr>
        <w:pStyle w:val="Heading2"/>
        <w:spacing w:after="100" w:before="200"/>
      </w:pPr>
      <w:r>
        <w:rPr>
          <w:rFonts w:ascii="Arial" w:eastAsia="Microsoft YaHei" w:hAnsi="Arial"/>
          <w:b/>
          <w:bCs/>
          <w:sz w:val="26"/>
          <w:szCs w:val="26"/>
        </w:rPr>
        <w:t xml:space="preserve">三、备注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噪声类型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误导、缺失</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难度等级</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中等</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覆盖场景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数据主体访问请求(DSAR)、一个月响应时限、拒绝权限制、身份验证</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适用法域</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欧盟</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00" w:before="200"/>
      <w:outlineLvl w:val="1"/>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2026-07-30T16:17:26.775Z</dcterms:created>
  <dcterms:modified xsi:type="dcterms:W3CDTF">2026-07-30T16:17:26.775Z</dcterms:modified>
</cp:coreProperties>
</file>

<file path=docProps/custom.xml><?xml version="1.0" encoding="utf-8"?>
<Properties xmlns="http://schemas.openxmlformats.org/officeDocument/2006/custom-properties" xmlns:vt="http://schemas.openxmlformats.org/officeDocument/2006/docPropsVTypes"/>
</file>