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57A3A">
      <w:pPr>
        <w:spacing w:before="300" w:after="120" w:line="360" w:lineRule="auto"/>
        <w:ind w:left="0"/>
        <w:jc w:val="center"/>
        <w:outlineLvl w:val="9"/>
        <w:rPr>
          <w:rFonts w:hint="default" w:ascii="Times New Roman" w:hAnsi="Times New Roman" w:eastAsia="宋体" w:cs="Times New Roman"/>
          <w:sz w:val="32"/>
          <w:szCs w:val="32"/>
        </w:rPr>
      </w:pPr>
      <w:bookmarkStart w:id="0" w:name="heading_0"/>
      <w:r>
        <w:rPr>
          <w:rFonts w:hint="default" w:ascii="Times New Roman" w:hAnsi="Times New Roman" w:eastAsia="宋体" w:cs="Times New Roman"/>
          <w:b/>
          <w:sz w:val="32"/>
          <w:szCs w:val="32"/>
        </w:rPr>
        <w:t>数规通</w:t>
      </w:r>
      <w:r>
        <w:rPr>
          <w:rFonts w:hint="eastAsia" w:ascii="Times New Roman" w:hAnsi="Times New Roman" w:eastAsia="宋体" w:cs="Times New Roman"/>
          <w:b/>
          <w:sz w:val="32"/>
          <w:szCs w:val="32"/>
          <w:lang w:val="en-US" w:eastAsia="zh-CN"/>
        </w:rPr>
        <w:t>golden set</w:t>
      </w:r>
      <w:r>
        <w:rPr>
          <w:rFonts w:hint="default" w:ascii="Times New Roman" w:hAnsi="Times New Roman" w:eastAsia="宋体" w:cs="Times New Roman"/>
          <w:b/>
          <w:sz w:val="32"/>
          <w:szCs w:val="32"/>
        </w:rPr>
        <w:t>（v2.0 深度细化加严版）</w:t>
      </w:r>
      <w:bookmarkEnd w:id="0"/>
    </w:p>
    <w:p w14:paraId="2C7296A1">
      <w:pPr>
        <w:spacing w:before="120" w:after="120" w:line="360" w:lineRule="auto"/>
        <w:ind w:left="0"/>
        <w:jc w:val="left"/>
        <w:outlineLvl w:val="0"/>
        <w:rPr>
          <w:rFonts w:hint="default" w:ascii="Times New Roman" w:hAnsi="Times New Roman" w:eastAsia="宋体" w:cs="Times New Roman"/>
          <w:sz w:val="28"/>
          <w:szCs w:val="28"/>
        </w:rPr>
      </w:pPr>
      <w:r>
        <w:rPr>
          <w:rFonts w:hint="eastAsia" w:ascii="Times New Roman" w:hAnsi="Times New Roman" w:eastAsia="宋体" w:cs="Times New Roman"/>
          <w:b/>
          <w:sz w:val="28"/>
          <w:szCs w:val="28"/>
          <w:lang w:val="en-US" w:eastAsia="zh-CN"/>
        </w:rPr>
        <w:t>1.</w:t>
      </w:r>
      <w:r>
        <w:rPr>
          <w:rFonts w:hint="default" w:ascii="Times New Roman" w:hAnsi="Times New Roman" w:eastAsia="宋体" w:cs="Times New Roman"/>
          <w:b/>
          <w:sz w:val="28"/>
          <w:szCs w:val="28"/>
        </w:rPr>
        <w:t>编制依据与核心哲学</w:t>
      </w:r>
    </w:p>
    <w:p w14:paraId="36D59B4B">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本版标准在v1.0基础上全面加严。我们不再仅仅满足于“答对”，而是追求“答得精准、答得深入、答得无可辩驳”。核心哲学是：</w:t>
      </w:r>
      <w:r>
        <w:rPr>
          <w:rFonts w:hint="default" w:ascii="Times New Roman" w:hAnsi="Times New Roman" w:eastAsia="宋体" w:cs="Times New Roman"/>
          <w:b/>
          <w:sz w:val="24"/>
          <w:szCs w:val="24"/>
        </w:rPr>
        <w:t>在法律合规领域，“大部分对”等于“完全错”。</w:t>
      </w:r>
      <w:r>
        <w:rPr>
          <w:rFonts w:hint="default" w:ascii="Times New Roman" w:hAnsi="Times New Roman" w:eastAsia="宋体" w:cs="Times New Roman"/>
          <w:sz w:val="24"/>
          <w:szCs w:val="24"/>
        </w:rPr>
        <w:t xml:space="preserve"> 一个遗漏的关键事实、一个模糊的法条引用、一个未考虑的隐性风险，都足以让一份法律意见书失去价值，甚至导致客户遭受损失。</w:t>
      </w:r>
    </w:p>
    <w:p w14:paraId="6635A7E9">
      <w:pPr>
        <w:spacing w:before="120" w:after="120" w:line="360" w:lineRule="auto"/>
        <w:ind w:left="0"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通用模型在此标准下预期将遭遇显著困难</w:t>
      </w:r>
      <w:r>
        <w:rPr>
          <w:rFonts w:hint="default" w:ascii="Times New Roman" w:hAnsi="Times New Roman" w:eastAsia="宋体" w:cs="Times New Roman"/>
          <w:sz w:val="24"/>
          <w:szCs w:val="24"/>
        </w:rPr>
        <w:t>，因为它们往往倾向于生成“看起来合理但经不起推敲”的泛化答案。本标准的每一个加严点，都是为了精准打击这种泛化能力，奖励真正的专业深度。</w:t>
      </w:r>
    </w:p>
    <w:p w14:paraId="4583579F">
      <w:pPr>
        <w:spacing w:before="120" w:after="120" w:line="360" w:lineRule="auto"/>
        <w:ind w:left="0"/>
        <w:jc w:val="left"/>
        <w:outlineLvl w:val="0"/>
        <w:rPr>
          <w:rFonts w:hint="default" w:ascii="Times New Roman" w:hAnsi="Times New Roman" w:eastAsia="宋体" w:cs="Times New Roman"/>
          <w:sz w:val="28"/>
          <w:szCs w:val="28"/>
        </w:rPr>
      </w:pPr>
      <w:r>
        <w:rPr>
          <w:rFonts w:hint="eastAsia" w:ascii="Times New Roman" w:hAnsi="Times New Roman" w:eastAsia="宋体" w:cs="Times New Roman"/>
          <w:b/>
          <w:sz w:val="28"/>
          <w:szCs w:val="28"/>
          <w:lang w:val="en-US" w:eastAsia="zh-CN"/>
        </w:rPr>
        <w:t>2.</w:t>
      </w:r>
      <w:r>
        <w:rPr>
          <w:rFonts w:hint="default" w:ascii="Times New Roman" w:hAnsi="Times New Roman" w:eastAsia="宋体" w:cs="Times New Roman"/>
          <w:b/>
          <w:sz w:val="28"/>
          <w:szCs w:val="28"/>
        </w:rPr>
        <w:t>加严总纲：六维评分骨架的强度升级</w:t>
      </w:r>
    </w:p>
    <w:p w14:paraId="14852488">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所有任务仍沿用D1-D6六维评分，但每个维度的评测要点和执行标准均被显著拔高。</w:t>
      </w:r>
    </w:p>
    <w:tbl>
      <w:tblPr>
        <w:tblStyle w:val="2"/>
        <w:tblW w:w="828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70"/>
        <w:gridCol w:w="2240"/>
        <w:gridCol w:w="3179"/>
      </w:tblGrid>
      <w:tr w14:paraId="726C6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92EEC">
            <w:pPr>
              <w:keepNext w:val="0"/>
              <w:keepLines w:val="0"/>
              <w:widowControl/>
              <w:suppressLineNumbers w:val="0"/>
              <w:spacing w:line="36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维度</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F7982">
            <w:pPr>
              <w:keepNext w:val="0"/>
              <w:keepLines w:val="0"/>
              <w:widowControl/>
              <w:suppressLineNumbers w:val="0"/>
              <w:spacing w:line="36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v1.0 核心要求</w:t>
            </w:r>
          </w:p>
        </w:tc>
        <w:tc>
          <w:tcPr>
            <w:tcW w:w="3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63844">
            <w:pPr>
              <w:keepNext w:val="0"/>
              <w:keepLines w:val="0"/>
              <w:widowControl/>
              <w:suppressLineNumbers w:val="0"/>
              <w:spacing w:line="36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v2.0 加严要求​</w:t>
            </w:r>
          </w:p>
        </w:tc>
      </w:tr>
      <w:tr w14:paraId="4EA1F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0" w:hRule="atLeast"/>
        </w:trPr>
        <w:tc>
          <w:tcPr>
            <w:tcW w:w="2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FEA0A">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D1 事实与要素提取​</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DA73A">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提取关键事实</w:t>
            </w:r>
          </w:p>
        </w:tc>
        <w:tc>
          <w:tcPr>
            <w:tcW w:w="31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042B1">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提取关键事实 + 推断隐性事实 + 识别逻辑陷阱。不仅要看到用户说了什么，更要看到用户没说什么，以及用户试图误导什么。</w:t>
            </w:r>
          </w:p>
        </w:tc>
      </w:tr>
      <w:tr w14:paraId="37C77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0" w:hRule="atLeast"/>
        </w:trPr>
        <w:tc>
          <w:tcPr>
            <w:tcW w:w="2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D15B8">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D2 法条/规则引出​</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003C1">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准确引出法条</w:t>
            </w:r>
          </w:p>
        </w:tc>
        <w:tc>
          <w:tcPr>
            <w:tcW w:w="31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9531E">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精确引出法条 + 文号 + 施行日期 + 条款层级。不仅要说“《个保法》”，要说“《中华人民共和国个人信息保护法》（2021年11月1日施行）第38条第1款”。禁止任何模糊表述。</w:t>
            </w:r>
          </w:p>
        </w:tc>
      </w:tr>
      <w:tr w14:paraId="61D2A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0" w:hRule="atLeast"/>
        </w:trPr>
        <w:tc>
          <w:tcPr>
            <w:tcW w:w="2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91A6F">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D3 法条理解与应用​</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916D1">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正确应用法条</w:t>
            </w:r>
          </w:p>
        </w:tc>
        <w:tc>
          <w:tcPr>
            <w:tcW w:w="31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A6664">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深度应用 + 反向论证 + 情景化推演。不仅要给出结论，还要预判反驳，并对结论在不同假设情景下的稳健性进行分析。</w:t>
            </w:r>
          </w:p>
        </w:tc>
      </w:tr>
      <w:tr w14:paraId="0676A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0" w:hRule="atLeast"/>
        </w:trPr>
        <w:tc>
          <w:tcPr>
            <w:tcW w:w="2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33379">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D4 程序与策略意识​</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7D13A">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指出程序性要求</w:t>
            </w:r>
          </w:p>
        </w:tc>
        <w:tc>
          <w:tcPr>
            <w:tcW w:w="31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32A499">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量化程序性要求 + 识别冲突与衔接。不仅要指出“需要备案”，还要指出“10个工作日内”、“向省级网信部门”、“需同步更新隐私政策”。识别不同程序之间的冲突与衔接点。</w:t>
            </w:r>
          </w:p>
        </w:tc>
      </w:tr>
      <w:tr w14:paraId="1388C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0" w:hRule="atLeast"/>
        </w:trPr>
        <w:tc>
          <w:tcPr>
            <w:tcW w:w="2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EEC5C">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D5 主张与结果构建​</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F4B6C">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结构完整，结论明确</w:t>
            </w:r>
          </w:p>
        </w:tc>
        <w:tc>
          <w:tcPr>
            <w:tcW w:w="31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58CE5">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交付物颗粒度达到“可直接使用”级别。禁止“详见附件”或“建议采取适当措施”等占位符。结论必须有明确的法律后果提示。</w:t>
            </w:r>
          </w:p>
        </w:tc>
      </w:tr>
      <w:tr w14:paraId="2D4D9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0" w:hRule="atLeast"/>
        </w:trPr>
        <w:tc>
          <w:tcPr>
            <w:tcW w:w="2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CA3C">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D6 职业规范与表述​</w:t>
            </w:r>
          </w:p>
        </w:tc>
        <w:tc>
          <w:tcPr>
            <w:tcW w:w="2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FA132">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使用法言法语</w:t>
            </w:r>
          </w:p>
        </w:tc>
        <w:tc>
          <w:tcPr>
            <w:tcW w:w="31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D45CF">
            <w:pPr>
              <w:keepNext w:val="0"/>
              <w:keepLines w:val="0"/>
              <w:widowControl/>
              <w:suppressLineNumbers w:val="0"/>
              <w:spacing w:line="36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法言法语 + 精确引用格式 + 强制免责声明原文。法条引用格式必须统一规范。免责声明必须使用标准原文，禁止paraphrase。</w:t>
            </w:r>
          </w:p>
        </w:tc>
      </w:tr>
    </w:tbl>
    <w:p w14:paraId="0CE72D42">
      <w:pPr>
        <w:spacing w:before="300" w:after="120" w:line="360" w:lineRule="auto"/>
        <w:ind w:left="0"/>
        <w:jc w:val="left"/>
        <w:outlineLvl w:val="0"/>
        <w:rPr>
          <w:rFonts w:hint="default" w:ascii="Times New Roman" w:hAnsi="Times New Roman" w:eastAsia="宋体" w:cs="Times New Roman"/>
          <w:sz w:val="28"/>
          <w:szCs w:val="28"/>
        </w:rPr>
      </w:pPr>
      <w:bookmarkStart w:id="1" w:name="heading_1"/>
      <w:r>
        <w:rPr>
          <w:rFonts w:hint="default" w:ascii="Times New Roman" w:hAnsi="Times New Roman" w:eastAsia="宋体" w:cs="Times New Roman"/>
          <w:b/>
          <w:sz w:val="24"/>
          <w:szCs w:val="24"/>
        </w:rPr>
        <w:br w:type="page"/>
      </w:r>
      <w:r>
        <w:rPr>
          <w:rFonts w:hint="eastAsia" w:ascii="Times New Roman" w:hAnsi="Times New Roman" w:eastAsia="宋体" w:cs="Times New Roman"/>
          <w:b/>
          <w:sz w:val="28"/>
          <w:szCs w:val="28"/>
          <w:lang w:val="en-US" w:eastAsia="zh-CN"/>
        </w:rPr>
        <w:t>3.</w:t>
      </w:r>
      <w:r>
        <w:rPr>
          <w:rFonts w:hint="default" w:ascii="Times New Roman" w:hAnsi="Times New Roman" w:eastAsia="宋体" w:cs="Times New Roman"/>
          <w:b/>
          <w:sz w:val="28"/>
          <w:szCs w:val="28"/>
        </w:rPr>
        <w:t>贯穿十大任务的“全过否决项”加严</w:t>
      </w:r>
      <w:bookmarkEnd w:id="1"/>
    </w:p>
    <w:p w14:paraId="7B114D1E">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在v1.0的基础上，新增和强化以下否决项，任何一条触发即整体0分。</w:t>
      </w:r>
    </w:p>
    <w:p w14:paraId="7A6D92F2">
      <w:pPr>
        <w:numPr>
          <w:ilvl w:val="0"/>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1.</w:t>
      </w:r>
      <w:r>
        <w:rPr>
          <w:rFonts w:hint="default" w:ascii="Times New Roman" w:hAnsi="Times New Roman" w:eastAsia="宋体" w:cs="Times New Roman"/>
          <w:b/>
          <w:sz w:val="24"/>
          <w:szCs w:val="24"/>
        </w:rPr>
        <w:t>法条引用错误（强化）</w:t>
      </w:r>
      <w:r>
        <w:rPr>
          <w:rFonts w:hint="default" w:ascii="Times New Roman" w:hAnsi="Times New Roman" w:eastAsia="宋体" w:cs="Times New Roman"/>
          <w:sz w:val="24"/>
          <w:szCs w:val="24"/>
        </w:rPr>
        <w:t>：引用已废止/失效的法条，或法条名称、文号、条款号、施行日期任一错误。</w:t>
      </w:r>
    </w:p>
    <w:p w14:paraId="78CF623D">
      <w:pPr>
        <w:numPr>
          <w:ilvl w:val="0"/>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2.</w:t>
      </w:r>
      <w:r>
        <w:rPr>
          <w:rFonts w:hint="default" w:ascii="Times New Roman" w:hAnsi="Times New Roman" w:eastAsia="宋体" w:cs="Times New Roman"/>
          <w:b/>
          <w:sz w:val="24"/>
          <w:szCs w:val="24"/>
        </w:rPr>
        <w:t>关键事实遗漏（强化）</w:t>
      </w:r>
      <w:r>
        <w:rPr>
          <w:rFonts w:hint="default" w:ascii="Times New Roman" w:hAnsi="Times New Roman" w:eastAsia="宋体" w:cs="Times New Roman"/>
          <w:sz w:val="24"/>
          <w:szCs w:val="24"/>
        </w:rPr>
        <w:t>：遗漏决定性事实（如是否CIIO、是否涉及重要数据、数据类型是否属于七类敏感数据）。</w:t>
      </w:r>
    </w:p>
    <w:p w14:paraId="4D7EFECD">
      <w:pPr>
        <w:numPr>
          <w:ilvl w:val="0"/>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3.</w:t>
      </w:r>
      <w:r>
        <w:rPr>
          <w:rFonts w:hint="default" w:ascii="Times New Roman" w:hAnsi="Times New Roman" w:eastAsia="宋体" w:cs="Times New Roman"/>
          <w:b/>
          <w:sz w:val="24"/>
          <w:szCs w:val="24"/>
        </w:rPr>
        <w:t>路径/定性判定错误（强化）</w:t>
      </w:r>
      <w:r>
        <w:rPr>
          <w:rFonts w:hint="default" w:ascii="Times New Roman" w:hAnsi="Times New Roman" w:eastAsia="宋体" w:cs="Times New Roman"/>
          <w:sz w:val="24"/>
          <w:szCs w:val="24"/>
        </w:rPr>
        <w:t>：应申报安全评估却建议走标准合同，或应将交易定性为“禁止性交易”却建议走“受限交易”合规程序。</w:t>
      </w:r>
    </w:p>
    <w:p w14:paraId="6E62E341">
      <w:pPr>
        <w:numPr>
          <w:ilvl w:val="0"/>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4.</w:t>
      </w:r>
      <w:r>
        <w:rPr>
          <w:rFonts w:hint="default" w:ascii="Times New Roman" w:hAnsi="Times New Roman" w:eastAsia="宋体" w:cs="Times New Roman"/>
          <w:b/>
          <w:sz w:val="24"/>
          <w:szCs w:val="24"/>
        </w:rPr>
        <w:t>反向错误（新增为通用否决项）</w:t>
      </w:r>
      <w:r>
        <w:rPr>
          <w:rFonts w:hint="default" w:ascii="Times New Roman" w:hAnsi="Times New Roman" w:eastAsia="宋体" w:cs="Times New Roman"/>
          <w:sz w:val="24"/>
          <w:szCs w:val="24"/>
        </w:rPr>
        <w:t>：将合规条款判定为违规，或将违规条款判定为合规。这在v1.0中仅存在于任务4，现推广至所有审查/诊断类任务。</w:t>
      </w:r>
    </w:p>
    <w:p w14:paraId="6C644CC1">
      <w:pPr>
        <w:numPr>
          <w:ilvl w:val="0"/>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5.</w:t>
      </w:r>
      <w:r>
        <w:rPr>
          <w:rFonts w:hint="default" w:ascii="Times New Roman" w:hAnsi="Times New Roman" w:eastAsia="宋体" w:cs="Times New Roman"/>
          <w:b/>
          <w:sz w:val="24"/>
          <w:szCs w:val="24"/>
        </w:rPr>
        <w:t>未识别关键隐性风险（新增）</w:t>
      </w:r>
      <w:r>
        <w:rPr>
          <w:rFonts w:hint="default" w:ascii="Times New Roman" w:hAnsi="Times New Roman" w:eastAsia="宋体" w:cs="Times New Roman"/>
          <w:sz w:val="24"/>
          <w:szCs w:val="24"/>
        </w:rPr>
        <w:t>：未能从用户描述中推断出未明说但存在的关键风险。例如，用户说“我们与一家美国云服务商合作”，模型未能主动追问或识别该云服务商可能受EO 14117管辖的间接传输风险。</w:t>
      </w:r>
    </w:p>
    <w:p w14:paraId="5986B065">
      <w:pPr>
        <w:numPr>
          <w:ilvl w:val="0"/>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6.</w:t>
      </w:r>
      <w:r>
        <w:rPr>
          <w:rFonts w:hint="default" w:ascii="Times New Roman" w:hAnsi="Times New Roman" w:eastAsia="宋体" w:cs="Times New Roman"/>
          <w:b/>
          <w:sz w:val="24"/>
          <w:szCs w:val="24"/>
        </w:rPr>
        <w:t>未进行反向论证（新增）</w:t>
      </w:r>
      <w:r>
        <w:rPr>
          <w:rFonts w:hint="default" w:ascii="Times New Roman" w:hAnsi="Times New Roman" w:eastAsia="宋体" w:cs="Times New Roman"/>
          <w:sz w:val="24"/>
          <w:szCs w:val="24"/>
        </w:rPr>
        <w:t>：在需要做出判断的任务（如路径诊断、交易定性）中，模型仅给出单向结论，未主动分析“如果不这样做会有什么风险”或“另一种观点可能是什么”。</w:t>
      </w:r>
    </w:p>
    <w:p w14:paraId="684FA984">
      <w:pPr>
        <w:numPr>
          <w:ilvl w:val="0"/>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b/>
          <w:sz w:val="24"/>
          <w:szCs w:val="24"/>
          <w:lang w:val="en-US" w:eastAsia="zh-CN"/>
        </w:rPr>
        <w:t>7.</w:t>
      </w:r>
      <w:r>
        <w:rPr>
          <w:rFonts w:hint="default" w:ascii="Times New Roman" w:hAnsi="Times New Roman" w:eastAsia="宋体" w:cs="Times New Roman"/>
          <w:b/>
          <w:sz w:val="24"/>
          <w:szCs w:val="24"/>
        </w:rPr>
        <w:t>交付物关键要素缺失（强化）</w:t>
      </w:r>
      <w:r>
        <w:rPr>
          <w:rFonts w:hint="default" w:ascii="Times New Roman" w:hAnsi="Times New Roman" w:eastAsia="宋体" w:cs="Times New Roman"/>
          <w:sz w:val="24"/>
          <w:szCs w:val="24"/>
        </w:rPr>
        <w:t>：未能生成黄金标准明确要求的法定交付物（如法律文件草案、补充措施方案、高管证明文件等）。</w:t>
      </w:r>
    </w:p>
    <w:p w14:paraId="2520DFEC">
      <w:pPr>
        <w:spacing w:before="300" w:after="120" w:line="360" w:lineRule="auto"/>
        <w:ind w:left="0"/>
        <w:jc w:val="left"/>
        <w:outlineLvl w:val="0"/>
        <w:rPr>
          <w:rFonts w:hint="default" w:ascii="Times New Roman" w:hAnsi="Times New Roman" w:eastAsia="宋体" w:cs="Times New Roman"/>
          <w:sz w:val="28"/>
          <w:szCs w:val="28"/>
        </w:rPr>
      </w:pPr>
      <w:bookmarkStart w:id="2" w:name="heading_2"/>
      <w:r>
        <w:rPr>
          <w:rFonts w:hint="default" w:ascii="Times New Roman" w:hAnsi="Times New Roman" w:eastAsia="宋体" w:cs="Times New Roman"/>
          <w:b/>
          <w:sz w:val="24"/>
          <w:szCs w:val="24"/>
        </w:rPr>
        <w:br w:type="page"/>
      </w:r>
      <w:r>
        <w:rPr>
          <w:rFonts w:hint="eastAsia" w:ascii="Times New Roman" w:hAnsi="Times New Roman" w:eastAsia="宋体" w:cs="Times New Roman"/>
          <w:b/>
          <w:sz w:val="28"/>
          <w:szCs w:val="28"/>
          <w:lang w:val="en-US" w:eastAsia="zh-CN"/>
        </w:rPr>
        <w:t>4.</w:t>
      </w:r>
      <w:r>
        <w:rPr>
          <w:rFonts w:hint="default" w:ascii="Times New Roman" w:hAnsi="Times New Roman" w:eastAsia="宋体" w:cs="Times New Roman"/>
          <w:b/>
          <w:sz w:val="28"/>
          <w:szCs w:val="28"/>
        </w:rPr>
        <w:t>十大任务黄金标准</w:t>
      </w:r>
      <w:bookmarkEnd w:id="2"/>
    </w:p>
    <w:p w14:paraId="1A1C6BE2">
      <w:pPr>
        <w:spacing w:before="260" w:after="120" w:line="360" w:lineRule="auto"/>
        <w:ind w:left="0"/>
        <w:jc w:val="left"/>
        <w:outlineLvl w:val="1"/>
        <w:rPr>
          <w:rFonts w:hint="default" w:ascii="Times New Roman" w:hAnsi="Times New Roman" w:eastAsia="宋体" w:cs="Times New Roman"/>
          <w:sz w:val="24"/>
          <w:szCs w:val="24"/>
        </w:rPr>
      </w:pPr>
      <w:bookmarkStart w:id="3" w:name="heading_3"/>
      <w:r>
        <w:rPr>
          <w:rFonts w:hint="default" w:ascii="Times New Roman" w:hAnsi="Times New Roman" w:eastAsia="宋体" w:cs="Times New Roman"/>
          <w:b/>
          <w:sz w:val="24"/>
          <w:szCs w:val="24"/>
        </w:rPr>
        <w:t>任务1：合规路径诊断</w:t>
      </w:r>
      <w:bookmarkEnd w:id="3"/>
    </w:p>
    <w:p w14:paraId="026CEE56">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事实与要素提取（权重25%，★关键项）</w:t>
      </w:r>
    </w:p>
    <w:p w14:paraId="73FE13EF">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 xml:space="preserve">v2.0 </w:t>
      </w:r>
      <w:r>
        <w:rPr>
          <w:rFonts w:hint="default" w:ascii="Times New Roman" w:hAnsi="Times New Roman" w:eastAsia="宋体" w:cs="Times New Roman"/>
          <w:sz w:val="24"/>
          <w:szCs w:val="24"/>
        </w:rPr>
        <w:t>增加对“隐性事实”的推断要求。例如，用户描述“我们是电商平台，有100万注册用户”，模型需推断出“这100万是注册用户，不等于当年累计出境的个人信息主体数量，需要进一步澄清活跃用户和出境数据量”。增加对“逻辑陷阱”的识别，例如用户说“我们只传输匿名化后的数据，所以不需要申报”，模型需识别“匿名化”与“假名化”的区别，并指出其逻辑谬误。</w:t>
      </w:r>
    </w:p>
    <w:p w14:paraId="49A1F0AA">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：遗漏“是否CIIO”或“是否涉及重要数据”判定；未识别用户描述中的逻辑陷阱。</w:t>
      </w:r>
    </w:p>
    <w:p w14:paraId="1D87D5C1">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法条/规则引出（权重20%，★关键项）</w:t>
      </w:r>
    </w:p>
    <w:p w14:paraId="39FD439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法条引出必须精确到“条、款、项”。例如，不能只说“《促进和规范数据跨境流动规定》第七条”，必须说“《促进和规范数据跨境流动规定》（2024年3月22日发布）第七条第一款第（一）项”。必须准确区分不同法律文件之间的层级关系（如《个保法》第38条是上位法，《促进规定》是下位细化）。</w:t>
      </w:r>
    </w:p>
    <w:p w14:paraId="184D56B7">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：法条名称/文号/条款号任一错误；引用已废止条文。</w:t>
      </w:r>
    </w:p>
    <w:p w14:paraId="70BA95A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法条理解与应用（权重25%，★关键项）</w:t>
      </w:r>
    </w:p>
    <w:p w14:paraId="6B966F90">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进行“反向论证”。例如，在判定“应走安全评估”后，必须主动分析“如果错误地选择了标准合同路径，会面临怎样的法律后果（如行政处罚、合同无效等）”。必须进行“情景化推演”，例如“如果贵司在下个月数据量突破100万，那么路径将切换至安全评估，建议提前60日启动准备工作”。</w:t>
      </w:r>
    </w:p>
    <w:p w14:paraId="376B680A">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：路径判定错误；未进行反向论证。</w:t>
      </w:r>
    </w:p>
    <w:p w14:paraId="407C0FD9">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0CB35827">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程序指引必须量化。例如，不能只说“尽快备案”，必须说“根据《标准合同办法》，应在标准合同生效之日起10个工作日内，通过数据出境申报系统（sjcj.cac.gov.cn）向所在地省级网信部门备案”。必须指出程序之间的冲突与衔接，例如“在进行安全评估申报的同时，建议同步启动个人信息保护影响评估（PIPIA），因为它是三条路径的共同前置义务”。</w:t>
      </w:r>
    </w:p>
    <w:p w14:paraId="2CC3458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主张与结果构建（权重10%）</w:t>
      </w:r>
    </w:p>
    <w:p w14:paraId="09FF0EE0">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结论部分必须包含“法律后果提示”。例如，“如果贵司未按规定申报安全评估而擅自出境，根据《个保法》第66条，可能面临最高五千万元或上一年度营业额百分之五的罚款，并可能被责令暂停相关业务”。</w:t>
      </w:r>
    </w:p>
    <w:p w14:paraId="517D910F">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职业规范与表述（权重5%）</w:t>
      </w:r>
    </w:p>
    <w:p w14:paraId="35017D4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w:t>
      </w:r>
      <w:r>
        <w:rPr>
          <w:rFonts w:hint="default" w:ascii="Times New Roman" w:hAnsi="Times New Roman" w:eastAsia="宋体" w:cs="Times New Roman"/>
          <w:b/>
          <w:sz w:val="24"/>
          <w:szCs w:val="24"/>
        </w:rPr>
        <w:t>本诊断不构成正式法律意见，仅供内部合规参考，具体决策前需由具备执业资格的律师复核。</w:t>
      </w:r>
      <w:r>
        <w:rPr>
          <w:rFonts w:hint="default" w:ascii="Times New Roman" w:hAnsi="Times New Roman" w:eastAsia="宋体" w:cs="Times New Roman"/>
          <w:sz w:val="24"/>
          <w:szCs w:val="24"/>
        </w:rPr>
        <w:t>”</w:t>
      </w:r>
    </w:p>
    <w:p w14:paraId="6C474CD0">
      <w:pPr>
        <w:spacing w:before="260" w:after="120" w:line="360" w:lineRule="auto"/>
        <w:ind w:left="0"/>
        <w:jc w:val="left"/>
        <w:outlineLvl w:val="1"/>
        <w:rPr>
          <w:rFonts w:hint="default" w:ascii="Times New Roman" w:hAnsi="Times New Roman" w:eastAsia="宋体" w:cs="Times New Roman"/>
          <w:sz w:val="24"/>
          <w:szCs w:val="24"/>
        </w:rPr>
      </w:pPr>
      <w:bookmarkStart w:id="4" w:name="heading_4"/>
      <w:r>
        <w:rPr>
          <w:rFonts w:hint="default" w:ascii="Times New Roman" w:hAnsi="Times New Roman" w:eastAsia="宋体" w:cs="Times New Roman"/>
          <w:b/>
          <w:sz w:val="24"/>
          <w:szCs w:val="24"/>
        </w:rPr>
        <w:t>任务2：安全评估路径（报告生成）</w:t>
      </w:r>
      <w:bookmarkEnd w:id="4"/>
    </w:p>
    <w:p w14:paraId="24BE813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事实与要素提取（权重15%）</w:t>
      </w:r>
    </w:p>
    <w:p w14:paraId="28B00E7F">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必须识别出用户描述中“数据出境链路”的完整性。例如，用户只描述了“从A公司到B公司”，模型需追问或推断是否存在“中间跳板”（如B公司将数据存储在新加坡服务器，再由新加坡传输至最终目的地）。</w:t>
      </w:r>
    </w:p>
    <w:p w14:paraId="3FF08C22">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法条/规则引出（权重15%，★关键项）</w:t>
      </w:r>
    </w:p>
    <w:p w14:paraId="1903B86C">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必须精确引出《数据出境安全评估办法》第5条的全部六项内容，并以列表或结构化方式呈现，证明无一遗漏。</w:t>
      </w:r>
    </w:p>
    <w:p w14:paraId="443E5B27">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法条理解与应用（权重25%，★关键项）</w:t>
      </w:r>
    </w:p>
    <w:p w14:paraId="47DDEF6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对“境外接收方所在国家或地区数据安全保护政策法规和网络安全环境对出境数据安全的影响”的评估，必须具体到该国某项特定法律（如美国的FISA 702条、印度的IT Act第69条），并分析该法律如何具体影响本次传输的数据安全。禁止笼统地说“该国法律环境存在风险”。</w:t>
      </w:r>
    </w:p>
    <w:p w14:paraId="021CE54C">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：六项评估内容有遗漏；对第三国法律环境的评估流于表面。</w:t>
      </w:r>
    </w:p>
    <w:p w14:paraId="33047E77">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6082C6AF">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明确提示“重新申报”的触发条件，并给出具体示例。例如，“若贵司与境外接收方的合同到期后续签，且数据出境目的、范围等未发生变化，根据《数据出境安全评估办法》第14条，仍需在合同到期前重新申报”。</w:t>
      </w:r>
    </w:p>
    <w:p w14:paraId="3EB3ADEB">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主张与结果构建（权重20%，★关键项）</w:t>
      </w:r>
    </w:p>
    <w:p w14:paraId="3A5887E3">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生成的“法律文件草案”不能是简单条款罗列，必须是一份</w:t>
      </w:r>
      <w:r>
        <w:rPr>
          <w:rFonts w:hint="default" w:ascii="Times New Roman" w:hAnsi="Times New Roman" w:eastAsia="宋体" w:cs="Times New Roman"/>
          <w:b/>
          <w:sz w:val="24"/>
          <w:szCs w:val="24"/>
        </w:rPr>
        <w:t>结构完整、可直接用于谈判的合同核心条款草案</w:t>
      </w:r>
      <w:r>
        <w:rPr>
          <w:rFonts w:hint="default" w:ascii="Times New Roman" w:hAnsi="Times New Roman" w:eastAsia="宋体" w:cs="Times New Roman"/>
          <w:sz w:val="24"/>
          <w:szCs w:val="24"/>
        </w:rPr>
        <w:t>，包含定义、双方义务（特别是数据安全保护义务、再转移约束、违约赔偿等）、争议解决等模块。</w:t>
      </w:r>
    </w:p>
    <w:p w14:paraId="634B4485">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：未生成可交付的法律文件草案条款；草案内容仅为框架性描述，不具备可操作性。</w:t>
      </w:r>
    </w:p>
    <w:p w14:paraId="59B3DEBB">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职业规范与表述（权重10%）</w:t>
      </w:r>
    </w:p>
    <w:p w14:paraId="655BE2E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报告中出现的所有数据量级、百分比必须精确，禁止使用“大量”、“很多”等模糊词汇。强制使用标准免责声明原文。</w:t>
      </w:r>
    </w:p>
    <w:p w14:paraId="7CCEB964">
      <w:pPr>
        <w:spacing w:before="260" w:after="120" w:line="360" w:lineRule="auto"/>
        <w:ind w:left="0"/>
        <w:jc w:val="left"/>
        <w:outlineLvl w:val="1"/>
        <w:rPr>
          <w:rFonts w:hint="default" w:ascii="Times New Roman" w:hAnsi="Times New Roman" w:eastAsia="宋体" w:cs="Times New Roman"/>
          <w:sz w:val="24"/>
          <w:szCs w:val="24"/>
        </w:rPr>
      </w:pPr>
      <w:bookmarkStart w:id="5" w:name="heading_5"/>
      <w:r>
        <w:rPr>
          <w:rFonts w:hint="default" w:ascii="Times New Roman" w:hAnsi="Times New Roman" w:eastAsia="宋体" w:cs="Times New Roman"/>
          <w:b/>
          <w:sz w:val="24"/>
          <w:szCs w:val="24"/>
        </w:rPr>
        <w:t>任务3：认证/标准合同路径（报告生成）</w:t>
      </w:r>
      <w:bookmarkEnd w:id="5"/>
    </w:p>
    <w:p w14:paraId="0D0F133C">
      <w:pPr>
        <w:numPr>
          <w:numId w:val="0"/>
        </w:numPr>
        <w:spacing w:before="120" w:after="120" w:line="360" w:lineRule="auto"/>
        <w:ind w:firstLine="480" w:firstLineChars="200"/>
        <w:jc w:val="left"/>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任务说明：之所以将认证与标准合同路径放在一个任务中，是因为其使用条件相同。任务3要做的事情是生成</w:t>
      </w:r>
      <w:r>
        <w:rPr>
          <w:rFonts w:hint="eastAsia" w:ascii="Times New Roman" w:hAnsi="Times New Roman" w:eastAsia="宋体" w:cs="Times New Roman"/>
          <w:b/>
          <w:bCs w:val="0"/>
          <w:sz w:val="24"/>
          <w:szCs w:val="24"/>
          <w:u w:val="single"/>
          <w:lang w:val="en-US" w:eastAsia="zh-CN"/>
        </w:rPr>
        <w:t>《个人信息保护影响评估报告》（PIPIA）</w:t>
      </w:r>
      <w:r>
        <w:rPr>
          <w:rFonts w:hint="eastAsia" w:ascii="Times New Roman" w:hAnsi="Times New Roman" w:eastAsia="宋体" w:cs="Times New Roman"/>
          <w:b w:val="0"/>
          <w:bCs/>
          <w:sz w:val="24"/>
          <w:szCs w:val="24"/>
          <w:lang w:val="en-US" w:eastAsia="zh-CN"/>
        </w:rPr>
        <w:t>，该报告在认证路径中属于程序必要事项，在标准合同路径中属于合规风险判断。注意，目前数规通的任务3的主要目的并非是生成标准合同草案。</w:t>
      </w:r>
    </w:p>
    <w:p w14:paraId="42DEE2EA">
      <w:pPr>
        <w:numPr>
          <w:numId w:val="0"/>
        </w:numPr>
        <w:spacing w:before="120" w:after="120" w:line="360" w:lineRule="auto"/>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bCs w:val="0"/>
          <w:sz w:val="24"/>
          <w:szCs w:val="24"/>
          <w:lang w:val="en-US" w:eastAsia="zh-CN"/>
        </w:rPr>
        <w:t>D1 事实与要素提取（权重15%）</w:t>
      </w:r>
    </w:p>
    <w:p w14:paraId="6EC242E9">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完整提取出境个人信息规模、范围、种类、敏感程度。</w:t>
      </w:r>
    </w:p>
    <w:p w14:paraId="22FD2DB1">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完整提取境外接收方信息（名称、所在地、所属国/地区、股权结构）。</w:t>
      </w:r>
    </w:p>
    <w:p w14:paraId="6643BAE2">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认证路径下，必须主动识别并确认“是否包含重要数据”。​ 如果用户未提及，模型必须主动追问，并在报告中明确标注“经与用户确认，本次传输不涉及重要数据，符合认证路径的适用前提”。</w:t>
      </w:r>
    </w:p>
    <w:p w14:paraId="3F91BE16">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必须识别并提取用户描述的“数据处理全生命周期”，包括收集、存储、使用、共享、跨境传输、删除等环节，并识别是否存在第三方（子处理者）介入。</w:t>
      </w:r>
    </w:p>
    <w:p w14:paraId="197EE5EE">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完整提取处理目的、范围、方式，并评估其合法性、正当性与必要性。</w:t>
      </w:r>
    </w:p>
    <w:p w14:paraId="69423260">
      <w:pPr>
        <w:numPr>
          <w:numId w:val="0"/>
        </w:numPr>
        <w:spacing w:before="120" w:after="120" w:line="360" w:lineRule="auto"/>
        <w:jc w:val="left"/>
        <w:rPr>
          <w:rFonts w:hint="default" w:ascii="Times New Roman" w:hAnsi="Times New Roman" w:eastAsia="宋体" w:cs="Times New Roman"/>
          <w:b w:val="0"/>
          <w:bCs/>
          <w:sz w:val="24"/>
          <w:szCs w:val="24"/>
          <w:lang w:val="en-US" w:eastAsia="zh-CN"/>
        </w:rPr>
      </w:pPr>
    </w:p>
    <w:p w14:paraId="356A6A0E">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否决项：认证路径下未识别“是否含重要数据”。遗漏对“境外接收方所在国”的识别。</w:t>
      </w:r>
    </w:p>
    <w:p w14:paraId="2C25A15C">
      <w:pPr>
        <w:numPr>
          <w:numId w:val="0"/>
        </w:numPr>
        <w:spacing w:before="120" w:after="120" w:line="360" w:lineRule="auto"/>
        <w:jc w:val="left"/>
        <w:rPr>
          <w:rFonts w:hint="default" w:ascii="Times New Roman" w:hAnsi="Times New Roman" w:eastAsia="宋体" w:cs="Times New Roman"/>
          <w:b/>
          <w:bCs w:val="0"/>
          <w:sz w:val="24"/>
          <w:szCs w:val="24"/>
          <w:lang w:val="en-US" w:eastAsia="zh-CN"/>
        </w:rPr>
      </w:pPr>
      <w:r>
        <w:rPr>
          <w:rFonts w:hint="default" w:ascii="Times New Roman" w:hAnsi="Times New Roman" w:eastAsia="宋体" w:cs="Times New Roman"/>
          <w:b/>
          <w:bCs w:val="0"/>
          <w:sz w:val="24"/>
          <w:szCs w:val="24"/>
          <w:lang w:val="en-US" w:eastAsia="zh-CN"/>
        </w:rPr>
        <w:t>D2 法条/规则引出（权重15%，★关键项）</w:t>
      </w:r>
    </w:p>
    <w:p w14:paraId="1B13DECA">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准确引出《个人信息出境标准合同办法》（2023年6月1日施行）第五条（PIPIA六项）。</w:t>
      </w:r>
    </w:p>
    <w:p w14:paraId="748A3184">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准确引出《个人信息出境认证办法》（2026年1月1日施行）相关条款（认证适用情形与前置义务）。</w:t>
      </w:r>
    </w:p>
    <w:p w14:paraId="3FFFAE44">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必须精确区分两条路径的法条依据，不得混淆。例如，标准合同路径引用的核心是《个人信息出境标准合同办法》，认证路径引用的是《个人信息出境认证办法》。</w:t>
      </w:r>
    </w:p>
    <w:p w14:paraId="1735FB66">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标准合同路径下，准确引出备案要求（10个工作日备案）与反规避条款（不得数量拆分）。</w:t>
      </w:r>
    </w:p>
    <w:p w14:paraId="6C9A670C">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认证路径下，准确引出证书3年有效期与境内代表/专门机构要求。</w:t>
      </w:r>
    </w:p>
    <w:p w14:paraId="743A7F0E">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否决项：两条路径法条混淆（如认证路径误引标准合同备案要求）。引用已废止或失效的法条。</w:t>
      </w:r>
    </w:p>
    <w:p w14:paraId="4A82A742">
      <w:pPr>
        <w:numPr>
          <w:numId w:val="0"/>
        </w:numPr>
        <w:spacing w:before="120" w:after="120" w:line="360" w:lineRule="auto"/>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bCs w:val="0"/>
          <w:sz w:val="24"/>
          <w:szCs w:val="24"/>
          <w:lang w:val="en-US" w:eastAsia="zh-CN"/>
        </w:rPr>
        <w:t>D3 法条理解与应用（权重25%，★关键项）</w:t>
      </w:r>
    </w:p>
    <w:p w14:paraId="37B57459">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PIPIA六项内容无一遗漏且逐项深入分析，每项分析均需结合用户具体场景，禁止模板套话。</w:t>
      </w:r>
    </w:p>
    <w:p w14:paraId="79178F4F">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境外接收方所在国/地区个人信息保护政策法规影响评估准确，必须具体到该国某项特定法律（如美国的FISA 702条、印度的IT Act第69条），并分析该法律如何具体影响本次传输的个人信息权益。</w:t>
      </w:r>
    </w:p>
    <w:p w14:paraId="63FEBC33">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论证合乎法理（必要性测试、比例原则、个人信息权益保障）。</w:t>
      </w:r>
    </w:p>
    <w:p w14:paraId="6AB10FA9">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对于标准合同路径，必须审查用户提供的合同草案是否与官方附件模板存在“实质性冲突”。​ 例如，官方模板规定“境外接收方不得再传输”，用户草案中写“在通知数据出口方后可再传输”，这属于实质性冲突，必须明确指出并要求修改。该审查结论应直接纳入PIPIA的风险评估部分。</w:t>
      </w:r>
    </w:p>
    <w:p w14:paraId="5AA923C2">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必须进行“反向论证”。​ 例如，在评估风险后，必须主动分析“如果未采取某项建议的补充措施，风险将如何演变”，或“如果选择另一条路径（如安全评估），利弊如何”。</w:t>
      </w:r>
    </w:p>
    <w:p w14:paraId="52B38749">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否决项：PIPIA六项有遗漏。未识别标准合同草案与官方模板的实质性冲突。对第三国法律环境的评估流于表面，未具体到法律条款。</w:t>
      </w:r>
    </w:p>
    <w:p w14:paraId="42A8EEE4">
      <w:pPr>
        <w:numPr>
          <w:numId w:val="0"/>
        </w:numPr>
        <w:spacing w:before="120" w:after="120" w:line="360" w:lineRule="auto"/>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bCs w:val="0"/>
          <w:sz w:val="24"/>
          <w:szCs w:val="24"/>
          <w:lang w:val="en-US" w:eastAsia="zh-CN"/>
        </w:rPr>
        <w:t>D4 程序与策略意识（权重15%）</w:t>
      </w:r>
    </w:p>
    <w:p w14:paraId="0FD4480C">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标准合同路径：明示10个工作日备案时限与向所在地省级网信部门备案的具体流程。</w:t>
      </w:r>
    </w:p>
    <w:p w14:paraId="732E07EE">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认证路径下，必须明确指出认证证书的“3年有效期”以及“有效期届满前需要申请续证”的具体流程和时间窗口（如提前6个月启动续证申请）。</w:t>
      </w:r>
    </w:p>
    <w:p w14:paraId="3FFCD5C8">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提示PIPIA是两条路径的共同前置义务。</w:t>
      </w:r>
    </w:p>
    <w:p w14:paraId="3F1E3910">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提示重新评估情形（目的/范围/种类/敏感程度/方式/保存地点变化等）。</w:t>
      </w:r>
    </w:p>
    <w:p w14:paraId="453C0BDA">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提供整改建议（如境外接收方需补强管理与技术措施），并给出优先级排序。</w:t>
      </w:r>
    </w:p>
    <w:p w14:paraId="1043E332">
      <w:pPr>
        <w:numPr>
          <w:numId w:val="0"/>
        </w:numPr>
        <w:spacing w:before="120" w:after="120" w:line="360" w:lineRule="auto"/>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bCs w:val="0"/>
          <w:sz w:val="24"/>
          <w:szCs w:val="24"/>
          <w:lang w:val="en-US" w:eastAsia="zh-CN"/>
        </w:rPr>
        <w:t>D5 主张与结果构建（权重20%，★关键项）</w:t>
      </w:r>
    </w:p>
    <w:p w14:paraId="724E1547">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报告结构完整：摘要→六项评估→境外接收方能力评估→风险处置→结论。</w:t>
      </w:r>
    </w:p>
    <w:p w14:paraId="1A3CAF3D">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每项内容有具体分析而非模板套话。</w:t>
      </w:r>
    </w:p>
    <w:p w14:paraId="79D8F7E1">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认证路径下，报告需明确声明“不含重要数据”并确认符合认证路径的适用条件，同时附带认证申请材料清单与境内代表/专门机构设立建议。</w:t>
      </w:r>
    </w:p>
    <w:p w14:paraId="35B644D5">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结论明确（建议备案/申请认证/补充材料后重新评估）。</w:t>
      </w:r>
    </w:p>
    <w:p w14:paraId="10C46452">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否决项：未生成结构完整的PIPIA报告草案。</w:t>
      </w:r>
    </w:p>
    <w:p w14:paraId="5BCE56CD">
      <w:pPr>
        <w:numPr>
          <w:numId w:val="0"/>
        </w:numPr>
        <w:spacing w:before="120" w:after="120" w:line="360" w:lineRule="auto"/>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bCs w:val="0"/>
          <w:sz w:val="24"/>
          <w:szCs w:val="24"/>
          <w:lang w:val="en-US" w:eastAsia="zh-CN"/>
        </w:rPr>
        <w:t>D6 职业规范与表述（权重10%）</w:t>
      </w:r>
    </w:p>
    <w:p w14:paraId="6A0E2EA1">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使用法言法语与监管报告规范格式（如“出境”、“接收方”、“单独同意”、“重要数据”等）。</w:t>
      </w:r>
    </w:p>
    <w:p w14:paraId="4E400D8A">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数值精确（量级阈值、百分比等）。</w:t>
      </w:r>
    </w:p>
    <w:p w14:paraId="0F69B40E">
      <w:pPr>
        <w:numPr>
          <w:numId w:val="0"/>
        </w:numPr>
        <w:spacing w:before="120" w:after="120" w:line="360" w:lineRule="auto"/>
        <w:ind w:firstLine="480" w:firstLineChars="200"/>
        <w:jc w:val="left"/>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标准合同草案条款表述与官方附件严格一致（如涉及）。</w:t>
      </w:r>
    </w:p>
    <w:p w14:paraId="62C32029">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val="0"/>
          <w:bCs/>
          <w:sz w:val="24"/>
          <w:szCs w:val="24"/>
          <w:lang w:val="en-US" w:eastAsia="zh-CN"/>
        </w:rPr>
        <w:t>强制使用标准免责声明原文：“本报告草案需经合规负责人与法律顾问复核，不构成正式法律意见。”</w:t>
      </w:r>
    </w:p>
    <w:p w14:paraId="1C923C93">
      <w:pPr>
        <w:spacing w:before="260" w:after="120" w:line="360" w:lineRule="auto"/>
        <w:ind w:left="0"/>
        <w:jc w:val="left"/>
        <w:outlineLvl w:val="1"/>
        <w:rPr>
          <w:rFonts w:hint="default" w:ascii="Times New Roman" w:hAnsi="Times New Roman" w:eastAsia="宋体" w:cs="Times New Roman"/>
          <w:sz w:val="24"/>
          <w:szCs w:val="24"/>
        </w:rPr>
      </w:pPr>
      <w:bookmarkStart w:id="6" w:name="heading_6"/>
      <w:r>
        <w:rPr>
          <w:rFonts w:hint="default" w:ascii="Times New Roman" w:hAnsi="Times New Roman" w:eastAsia="宋体" w:cs="Times New Roman"/>
          <w:b/>
          <w:sz w:val="24"/>
          <w:szCs w:val="24"/>
        </w:rPr>
        <w:t>任务4：文档专项智能审查</w:t>
      </w:r>
      <w:bookmarkEnd w:id="6"/>
    </w:p>
    <w:p w14:paraId="0C1E513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事实与要素提取（权重15%）</w:t>
      </w:r>
    </w:p>
    <w:p w14:paraId="13B97C8C">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必须识别文档的“版本”和“生效日期”。如果用户提交了一份过期版本的隐私政策，模型必须指出“该版本已于XXXX年XX月XX日被新版取代，审查应以新版为准”。</w:t>
      </w:r>
    </w:p>
    <w:p w14:paraId="77D36925">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法条/规则引出（权重15%，★关键项）</w:t>
      </w:r>
    </w:p>
    <w:p w14:paraId="342D6776">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必须引用与被审查文档最直接相关的、最新的法条。例如，审查一份涉及数据出境的合同，不能只引用《民法典》，必须优先引用《个保法》第五章和《数据出境安全评估办法》。</w:t>
      </w:r>
    </w:p>
    <w:p w14:paraId="08B0038E">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法条理解与应用（权重30%，★关键项）</w:t>
      </w:r>
    </w:p>
    <w:p w14:paraId="72704D8C">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于每个识别的合规缺陷，必须进行“风险等级量化评估”。例如，不能只说“存在风险”，要说“该条款缺失可能导致在发生数据泄露时，贵司无法向境外接收方追责，风险等级评定为【高】，一旦发生事故，可能造成【数百万】级别的经济损失和【严重】的品牌声誉损害”。</w:t>
      </w:r>
    </w:p>
    <w:p w14:paraId="5E013162">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：将合规条款误判为违规，或将违规条款误判为合规（反向错误）。</w:t>
      </w:r>
    </w:p>
    <w:p w14:paraId="5F18DC7D">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266754C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改建议必须包含“替代条款草案”。例如，不能只说“建议增加数据泄露通知条款”，必须直接给出“建议将以下条款加入合同第X条：‘境外接收方在发现数据泄露事件后，应在【24小时】内通知数据出口方，并提供包括泄露原因、影响范围、已采取及拟采取的补救措施在内的书面报告。’”</w:t>
      </w:r>
    </w:p>
    <w:p w14:paraId="4A1407A5">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主张与结果构建（权重15%）</w:t>
      </w:r>
    </w:p>
    <w:p w14:paraId="2CE94611">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最终的审查报告必须包含一个“合规性评分卡”，对被审查文档的各项核心要素进行打分（如“数据主体权利告知：不合格”、“数据安全保障措施：部分合格”），并给出一个总分。</w:t>
      </w:r>
    </w:p>
    <w:p w14:paraId="095FDA8D">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职业规范与表述（权重10%）</w:t>
      </w:r>
    </w:p>
    <w:p w14:paraId="4787B5A8">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强制使用标准免责声明原文。所有法条引用格式必须统一为“[法规简称]（[文号]，[施行日期]）第X条”。</w:t>
      </w:r>
    </w:p>
    <w:p w14:paraId="735D4375">
      <w:pPr>
        <w:spacing w:before="260" w:after="120" w:line="360" w:lineRule="auto"/>
        <w:ind w:left="0"/>
        <w:jc w:val="left"/>
        <w:outlineLvl w:val="1"/>
        <w:rPr>
          <w:rFonts w:hint="default" w:ascii="Times New Roman" w:hAnsi="Times New Roman" w:eastAsia="宋体" w:cs="Times New Roman"/>
          <w:sz w:val="24"/>
          <w:szCs w:val="24"/>
        </w:rPr>
      </w:pPr>
      <w:bookmarkStart w:id="7" w:name="heading_7"/>
      <w:r>
        <w:rPr>
          <w:rFonts w:hint="default" w:ascii="Times New Roman" w:hAnsi="Times New Roman" w:eastAsia="宋体" w:cs="Times New Roman"/>
          <w:b/>
          <w:sz w:val="24"/>
          <w:szCs w:val="24"/>
        </w:rPr>
        <w:t>任务5：SCC审查</w:t>
      </w:r>
      <w:bookmarkEnd w:id="7"/>
    </w:p>
    <w:p w14:paraId="3A40A812">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事实与要素提取（权重15%）</w:t>
      </w:r>
    </w:p>
    <w:p w14:paraId="702C736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必须识别SCC的“语言版本”。如果用户提交的是英文版，但合同约定适用法为德国法，模型需指出“建议同时核对德语官方译本，以确保条款理解无误”。</w:t>
      </w:r>
    </w:p>
    <w:p w14:paraId="2CE7C99E">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法条/规则引出（权重15%，★关键项）</w:t>
      </w:r>
    </w:p>
    <w:p w14:paraId="4DBF8F98">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必须精确引出“Schrems II 判决 (Case C-311/18)”的核心要义，并明确指出其与SCC的关系：“Schrems II 判决确立了一项核心原则：仅仅签署SCCs本身并不足以确保数据保护水平，数据出口方必须逐案进行TIA，以核实目的地国的法律实践是否会削弱SCCs提供的保护。”</w:t>
      </w:r>
    </w:p>
    <w:p w14:paraId="38AC8500">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法条理解与应用（权重30%，★关键项）</w:t>
      </w:r>
    </w:p>
    <w:p w14:paraId="099E90D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对第三国法律环境的评估必须结合Schrems II判决后的最新发展。例如，对于向美国传输的场景，必须分析EO 14086（加强美国信号情报活动的保障措施）和Data Protection Review Court (DPRC)的建立是否实质性改变了Schrems II判决中认定的“美国缺乏有效司法救济”的问题，并给出审慎判断。</w:t>
      </w:r>
    </w:p>
    <w:p w14:paraId="7C01C00A">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：未发现正文条款被实质性修改；向中国传输场景下未评估《国家情报法》风险；对第三国法律环境的评估未结合Schrems II后的最新变化。</w:t>
      </w:r>
    </w:p>
    <w:p w14:paraId="00B6F7CB">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015C57D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必须提供“TIA编制的时间表和责任分工建议”。例如，“建议由贵司DPO牵头，联合法务、信息安全部门，在【4周内】完成TIA初稿，并由外部欧盟合规律师进行复核。”</w:t>
      </w:r>
    </w:p>
    <w:p w14:paraId="4E430B7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主张与结果构建（权重15%）</w:t>
      </w:r>
    </w:p>
    <w:p w14:paraId="1AC07A70">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提供的“修订后SCC条款”必须是“红line版本”，清晰地展示出哪些是原始条款，哪些是建议修改的部分，并附上修改理由。</w:t>
      </w:r>
    </w:p>
    <w:p w14:paraId="55E4C97A">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职业规范与表述（权重10%）</w:t>
      </w:r>
    </w:p>
    <w:p w14:paraId="2CE30B5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w:t>
      </w:r>
      <w:r>
        <w:rPr>
          <w:rFonts w:hint="default" w:ascii="Times New Roman" w:hAnsi="Times New Roman" w:eastAsia="宋体" w:cs="Times New Roman"/>
          <w:b/>
          <w:sz w:val="24"/>
          <w:szCs w:val="24"/>
        </w:rPr>
        <w:t>本审查意见不构成正式法律意见，需由欧盟成员国合格律师复核。</w:t>
      </w:r>
      <w:r>
        <w:rPr>
          <w:rFonts w:hint="default" w:ascii="Times New Roman" w:hAnsi="Times New Roman" w:eastAsia="宋体" w:cs="Times New Roman"/>
          <w:sz w:val="24"/>
          <w:szCs w:val="24"/>
        </w:rPr>
        <w:t>”</w:t>
      </w:r>
    </w:p>
    <w:p w14:paraId="1094027E">
      <w:pPr>
        <w:spacing w:before="260" w:after="120" w:line="360" w:lineRule="auto"/>
        <w:ind w:left="0"/>
        <w:jc w:val="left"/>
        <w:outlineLvl w:val="1"/>
        <w:rPr>
          <w:rFonts w:hint="default" w:ascii="Times New Roman" w:hAnsi="Times New Roman" w:eastAsia="宋体" w:cs="Times New Roman"/>
          <w:sz w:val="24"/>
          <w:szCs w:val="24"/>
        </w:rPr>
      </w:pPr>
      <w:bookmarkStart w:id="8" w:name="heading_8"/>
      <w:r>
        <w:rPr>
          <w:rFonts w:hint="default" w:ascii="Times New Roman" w:hAnsi="Times New Roman" w:eastAsia="宋体" w:cs="Times New Roman"/>
          <w:b/>
          <w:sz w:val="24"/>
          <w:szCs w:val="24"/>
        </w:rPr>
        <w:t>任务6：BCR审核</w:t>
      </w:r>
      <w:bookmarkEnd w:id="8"/>
    </w:p>
    <w:p w14:paraId="4D31268D">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事实与要素提取（权重15%）</w:t>
      </w:r>
    </w:p>
    <w:p w14:paraId="315210ED">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必须识别BCR的“地理覆盖范围”。例如，用户提交的BCR是否覆盖了其在亚太区的所有子公司？如果存在遗漏，必须明确指出。</w:t>
      </w:r>
    </w:p>
    <w:p w14:paraId="447F250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法条/规则引出（权重15%，★关键项）</w:t>
      </w:r>
    </w:p>
    <w:p w14:paraId="6BC2D8DD">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必须精确引出GDPR第47条的全部14项核心内容要求，并以清单形式逐一核对。</w:t>
      </w:r>
    </w:p>
    <w:p w14:paraId="15D7A7A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法条理解与应用（权重30%，★关键项）</w:t>
      </w:r>
    </w:p>
    <w:p w14:paraId="61FEAAA9">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责任兜底机制”的审查必须深入。例如，如果BCR规定由非欧盟母公司承担责任，模型需分析“该母公司在欧盟境内是否有可执行的资产？如果无，该兜底机制可能形同虚设，建议指定一家在欧盟境内有充足资产的实体作为责任主体。”</w:t>
      </w:r>
    </w:p>
    <w:p w14:paraId="2F177807">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：14项核心内容有遗漏识别；未发现责任兜底机制的重大缺陷。</w:t>
      </w:r>
    </w:p>
    <w:p w14:paraId="5C927C89">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65C5B9F9">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必须提供“BCR审批流程的详细路线图”，包括“选择主管DPA（Lead SA）”、“向EDPB提交并获得一致性意见”、“最终由各成员国DPA批准”等关键节点，并预估每个节点的耗时。</w:t>
      </w:r>
    </w:p>
    <w:p w14:paraId="308A8BBA">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主张与结果构建（权重15%）</w:t>
      </w:r>
    </w:p>
    <w:p w14:paraId="7494D23F">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提供的“BCR修订条款草案”必须具有高度可操作性，可以直接被企业法务采纳并嵌入其全球数据保护政策中。</w:t>
      </w:r>
    </w:p>
    <w:p w14:paraId="36076FDB">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职业规范与表述（权重10%）</w:t>
      </w:r>
    </w:p>
    <w:p w14:paraId="0D8FAD0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w:t>
      </w:r>
    </w:p>
    <w:p w14:paraId="1C71BCF8">
      <w:pPr>
        <w:spacing w:before="260" w:after="120" w:line="360" w:lineRule="auto"/>
        <w:ind w:left="0"/>
        <w:jc w:val="left"/>
        <w:outlineLvl w:val="1"/>
        <w:rPr>
          <w:rFonts w:hint="default" w:ascii="Times New Roman" w:hAnsi="Times New Roman" w:eastAsia="宋体" w:cs="Times New Roman"/>
          <w:sz w:val="24"/>
          <w:szCs w:val="24"/>
        </w:rPr>
      </w:pPr>
      <w:bookmarkStart w:id="9" w:name="heading_9"/>
      <w:r>
        <w:rPr>
          <w:rFonts w:hint="default" w:ascii="Times New Roman" w:hAnsi="Times New Roman" w:eastAsia="宋体" w:cs="Times New Roman"/>
          <w:b/>
          <w:sz w:val="24"/>
          <w:szCs w:val="24"/>
        </w:rPr>
        <w:t>任务7：DPIA草案生成</w:t>
      </w:r>
      <w:bookmarkEnd w:id="9"/>
    </w:p>
    <w:p w14:paraId="48D4DE92">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事实与要素提取（权重15%）</w:t>
      </w:r>
    </w:p>
    <w:p w14:paraId="3B2610E8">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必须识别出数据处理活动中涉及的“新技术”或“新方法”。例如，用户描述“我们使用AI进行简历筛选”，模型需识别出这属于“自动化决策”技术，并触发DPIA强制要求。</w:t>
      </w:r>
    </w:p>
    <w:p w14:paraId="12080C00">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法条/规则引出（权重15%，★关键项）</w:t>
      </w:r>
    </w:p>
    <w:p w14:paraId="6E2121D3">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必须精确引出GDPR第35条，并同时引出EDPB关于DPIA的“高风险处理清单”（WP248 Rev.01），将用户的处理活动与清单中的各项进行逐一比对。</w:t>
      </w:r>
    </w:p>
    <w:p w14:paraId="382E624A">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法条理解与应用（权重25%，★关键项）</w:t>
      </w:r>
    </w:p>
    <w:p w14:paraId="0375BA5D">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要性评估”和“比例性评估”必须分开进行，并分别给出论证。不能将二者混为一谈。例如，“必要性评估”结论是“为实现个性化推荐，处理用户浏览历史是必要的”；“比例性评估”结论是“但处理全部浏览历史并保留3年，超出了实现该目的的合理比例，建议缩短保留期限并仅处理近6个月的数据”。</w:t>
      </w:r>
    </w:p>
    <w:p w14:paraId="75E8E1FC">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：DPIA法定内容有遗漏；未区分必要性与比例性评估。</w:t>
      </w:r>
    </w:p>
    <w:p w14:paraId="29C819DB">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3DD237D0">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必须明确提示“与监管机构的事前协商义务（GDPR第36条）”。如果DPIA识别出高风险且无法通过补充措施有效降低，模型必须建议“在开始处理活动前，需向主管DPA进行咨询”。</w:t>
      </w:r>
    </w:p>
    <w:p w14:paraId="492EEA1C">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主张与结果构建（权重20%，★关键项）</w:t>
      </w:r>
    </w:p>
    <w:p w14:paraId="44EB34D1">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生成的风险处置方案必须是“SMART”原则的（具体的、可衡量的、可达成的、相关的、有时限的）。例如，“在【30日内】部署【端到端加密】技术，确保密钥由【数据出口方】在【欧盟境内】独立控制，以将【政府不当访问】的风险从【高】降低至【低】。”</w:t>
      </w:r>
    </w:p>
    <w:p w14:paraId="3F652665">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：未生成可交付的风险处置方案；方案不具备可执行性。</w:t>
      </w:r>
    </w:p>
    <w:p w14:paraId="28F36C55">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职业规范与表述（权重10%）</w:t>
      </w:r>
    </w:p>
    <w:p w14:paraId="5103BC9D">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w:t>
      </w:r>
    </w:p>
    <w:p w14:paraId="64931EBD">
      <w:pPr>
        <w:spacing w:before="260" w:after="120" w:line="360" w:lineRule="auto"/>
        <w:ind w:left="0"/>
        <w:jc w:val="left"/>
        <w:outlineLvl w:val="1"/>
        <w:rPr>
          <w:rFonts w:hint="default" w:ascii="Times New Roman" w:hAnsi="Times New Roman" w:eastAsia="宋体" w:cs="Times New Roman"/>
          <w:sz w:val="24"/>
          <w:szCs w:val="24"/>
        </w:rPr>
      </w:pPr>
      <w:bookmarkStart w:id="10" w:name="heading_10"/>
      <w:r>
        <w:rPr>
          <w:rFonts w:hint="default" w:ascii="Times New Roman" w:hAnsi="Times New Roman" w:eastAsia="宋体" w:cs="Times New Roman"/>
          <w:b/>
          <w:sz w:val="24"/>
          <w:szCs w:val="24"/>
        </w:rPr>
        <w:t>任务8：TIA草案生成</w:t>
      </w:r>
      <w:bookmarkEnd w:id="10"/>
      <w:bookmarkStart w:id="13" w:name="_GoBack"/>
      <w:bookmarkEnd w:id="13"/>
    </w:p>
    <w:p w14:paraId="587BAFEE">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事实与要素提取（权重15%）</w:t>
      </w:r>
    </w:p>
    <w:p w14:paraId="70780704">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必须识别传输链路中的所有“中间方”。例如，用户描述“我们通过一家美国SaaS服务商向我们的美国母公司传输数据”，模型需识别出“美国SaaS服务商”也是一个潜在的访问点，需要对其进行评估。</w:t>
      </w:r>
    </w:p>
    <w:p w14:paraId="236ABFC9">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法条/规则引出（权重15%，★关键项）</w:t>
      </w:r>
    </w:p>
    <w:p w14:paraId="3A61F0B3">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必须精确引出EDPB关于TIA的“Recommendations 01/2020”，并明确指出该指南中关于“三步测试法”的要求：Step 1: Know your transfers; Step 2: Verify the transfer tool; Step 3: Assess the laws and practices of the third country.</w:t>
      </w:r>
    </w:p>
    <w:p w14:paraId="2B8E9A6D">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法条理解与应用（权重30%，★关键项）</w:t>
      </w:r>
    </w:p>
    <w:p w14:paraId="430D103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第三国政府访问风险的评估必须具体到“某项法律的具体条款”。例如，评估中国时，必须具体分析《国际刑事司法协助法》第4条、《数据安全法》第35条、《个人信息保护法》第36条等，并分析这些条款在实践中如何被适用，以及它们对SCCs效力的具体影响。禁止笼统地说“中国法律存在政府数据访问风险”。</w:t>
      </w:r>
    </w:p>
    <w:p w14:paraId="1C6759AF">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：向中国传输场景下未评估《国家情报法》等具体法律；未提出任何补充措施而直接认定传输可行；对第三国法律环境的评估未具体到法律条款。</w:t>
      </w:r>
    </w:p>
    <w:p w14:paraId="0B731832">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6C075868">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必须提供“补充措施的优先级排序和实施路线图”。例如，“建议优先实施【端到端加密】（P0，2周内），其次是【数据最小化】（P1，1个月内），最后是【合同条款修订】（P2，3个月内）”。</w:t>
      </w:r>
    </w:p>
    <w:p w14:paraId="1725E70C">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主张与结果构建（权重20%，★关键项）</w:t>
      </w:r>
    </w:p>
    <w:p w14:paraId="50F15288">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生成的“补充措施实施方案”必须是一份独立的、可交付的文件，包含技术规格、实施步骤、责任人和验收标准。例如，对于“端到端加密”措施，需要描述加密算法（如AES-256-GCM）、密钥管理方案（HSM或KMS）、实施时间表等。</w:t>
      </w:r>
    </w:p>
    <w:p w14:paraId="6757176F">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：未生成可交付的补充措施方案；方案过于笼统，不具备可操作性。</w:t>
      </w:r>
    </w:p>
    <w:p w14:paraId="3794D3AD">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职业规范与表述（权重10%）</w:t>
      </w:r>
    </w:p>
    <w:p w14:paraId="3255F4AC">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w:t>
      </w:r>
    </w:p>
    <w:p w14:paraId="5C2EB3E3">
      <w:pPr>
        <w:spacing w:before="260" w:after="120" w:line="360" w:lineRule="auto"/>
        <w:ind w:left="0"/>
        <w:jc w:val="left"/>
        <w:outlineLvl w:val="1"/>
        <w:rPr>
          <w:rFonts w:hint="default" w:ascii="Times New Roman" w:hAnsi="Times New Roman" w:eastAsia="宋体" w:cs="Times New Roman"/>
          <w:sz w:val="24"/>
          <w:szCs w:val="24"/>
        </w:rPr>
      </w:pPr>
      <w:bookmarkStart w:id="11" w:name="heading_11"/>
      <w:r>
        <w:rPr>
          <w:rFonts w:hint="default" w:ascii="Times New Roman" w:hAnsi="Times New Roman" w:eastAsia="宋体" w:cs="Times New Roman"/>
          <w:b/>
          <w:sz w:val="24"/>
          <w:szCs w:val="24"/>
        </w:rPr>
        <w:t>任务9：EO 14117行政令合规</w:t>
      </w:r>
      <w:bookmarkEnd w:id="11"/>
    </w:p>
    <w:p w14:paraId="1BD9ECB0">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事实与要素提取（权重25%，★关键项）</w:t>
      </w:r>
    </w:p>
    <w:p w14:paraId="39D7C52E">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主动识别并追问“交易对手方的最终受益人信息”。用户可能只提供公司名，模型必须意识到需要进行“50%股权穿透”，并主动要求用户提供股权结构图或进行穿透查询。必须识别“间接传输风险”，例如用户说“我们与一家德国云服务商合作，它可能将数据传给其美国母公司”，模型需指出这种间接路径同样可能落入管辖。</w:t>
      </w:r>
    </w:p>
    <w:p w14:paraId="469AC417">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：遗漏“数据类型是否属于七类敏感个人数据”或“交易对手方是否受限主体”判定；未识别间接传输风险。</w:t>
      </w:r>
    </w:p>
    <w:p w14:paraId="6BE71A47">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法条/规则引出（权重20%，★关键项）</w:t>
      </w:r>
    </w:p>
    <w:p w14:paraId="756D1012">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必须精确引出“28 CFR Part 202”中关于“批量阈值”的计算方法。例如，“人类组学数据阈值为100名美国人，精确地理位置数据阈值为1000名美国人，个人财务数据阈值为10,000名美国人……”。必须准确说出“受关注国家”的全部六个国家名称。</w:t>
      </w:r>
    </w:p>
    <w:p w14:paraId="5DDF697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法条理解与应用（权重25%，★关键项）</w:t>
      </w:r>
    </w:p>
    <w:p w14:paraId="727C5B2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进行“穿透计算”的推演。例如，给定一个复杂的股权结构（A-&gt;B-&gt;C），模型必须能正确应用“全有或全无”逻辑计算出受限主体的持股比例。必须能准确区分“禁止性交易”和“受限交易”的本质区别：前者是完全禁止的（如数据经纪交易），后者是在满足特定安全条件下可以进行的（如供应商协议）。</w:t>
      </w:r>
    </w:p>
    <w:p w14:paraId="1A327CD0">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：应定性为禁止性交易却建议走受限交易合规程序；股权穿透计算错误。</w:t>
      </w:r>
    </w:p>
    <w:p w14:paraId="5ACDA151">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2C57464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明确指出“2025年10月5日”这一全面实施的时间节点，并提示在此之前需要完成的准备工作。对于受限交易，必须详细列出“CISA安全要求”的要点，如“数据最小化”、“屏蔽日志”、“物理和逻辑隔离”、“联邦政府云认证”等。</w:t>
      </w:r>
    </w:p>
    <w:p w14:paraId="07D1EC4F">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主张与结果构建（权重10%）</w:t>
      </w:r>
    </w:p>
    <w:p w14:paraId="1CE2CB47">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论必须包含“风险敞口评估”。例如，“根据现有信息，贵司本次交易被定性为【受限交易】。若不建立数据合规计划，可能面临每次违规最高$368,136的民事罚款，若被认定为‘故意’，还可能触发刑事处罚。”</w:t>
      </w:r>
    </w:p>
    <w:p w14:paraId="6F1CC069">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职业规范与表述（权重5%）</w:t>
      </w:r>
    </w:p>
    <w:p w14:paraId="7A46A62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w:t>
      </w:r>
      <w:r>
        <w:rPr>
          <w:rFonts w:hint="default" w:ascii="Times New Roman" w:hAnsi="Times New Roman" w:eastAsia="宋体" w:cs="Times New Roman"/>
          <w:b/>
          <w:sz w:val="24"/>
          <w:szCs w:val="24"/>
        </w:rPr>
        <w:t>本诊断不构成正式法律意见，需由美国合格律师复核。</w:t>
      </w:r>
      <w:r>
        <w:rPr>
          <w:rFonts w:hint="default" w:ascii="Times New Roman" w:hAnsi="Times New Roman" w:eastAsia="宋体" w:cs="Times New Roman"/>
          <w:sz w:val="24"/>
          <w:szCs w:val="24"/>
        </w:rPr>
        <w:t>”同时必须提示“EO 14117具有跨党派延续性，不能视为短期政策波动”。</w:t>
      </w:r>
    </w:p>
    <w:p w14:paraId="0420F39B">
      <w:pPr>
        <w:spacing w:before="260" w:after="120" w:line="360" w:lineRule="auto"/>
        <w:ind w:left="0"/>
        <w:jc w:val="left"/>
        <w:outlineLvl w:val="1"/>
        <w:rPr>
          <w:rFonts w:hint="default" w:ascii="Times New Roman" w:hAnsi="Times New Roman" w:eastAsia="宋体" w:cs="Times New Roman"/>
          <w:sz w:val="24"/>
          <w:szCs w:val="24"/>
        </w:rPr>
      </w:pPr>
      <w:bookmarkStart w:id="12" w:name="heading_12"/>
      <w:r>
        <w:rPr>
          <w:rFonts w:hint="default" w:ascii="Times New Roman" w:hAnsi="Times New Roman" w:eastAsia="宋体" w:cs="Times New Roman"/>
          <w:b/>
          <w:sz w:val="24"/>
          <w:szCs w:val="24"/>
        </w:rPr>
        <w:t>任务10：CPRA合规</w:t>
      </w:r>
      <w:bookmarkEnd w:id="12"/>
    </w:p>
    <w:p w14:paraId="00EEA760">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D1 事实与要素提取（权重25%，★关键项）</w:t>
      </w:r>
    </w:p>
    <w:p w14:paraId="6F4E2115">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识别企业的“营收构成”。用户可能只说“年收入3000万美元”，模型需追问“其中有多少比例来自于出售或共享消费者个人信息？”以判断是否触发网络安全审计的门槛。必须识别“员工数据”与“消费者数据”的处理边界，并指出员工数据在某些场景下有有限豁免，但并非完全豁免。</w:t>
      </w:r>
    </w:p>
    <w:p w14:paraId="24656BD0">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：遗漏“是否满足CCPA适用门槛”判定；未识别营收构成对审计时间表的影响。</w:t>
      </w:r>
    </w:p>
    <w:p w14:paraId="206DA823">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D2 法条/规则引出（权重20%，★关键项）</w:t>
      </w:r>
    </w:p>
    <w:p w14:paraId="0CA974DB">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精确引出CPPA在2025年9月23日批准的最终规则文本。必须能准确说出“风险评估”的六类触发活动、“网络安全审计”的三个触发门槛（营收、数据量、敏感数据量）以及对应的审计完成时间表（2028/2029/2030年4月1日）。</w:t>
      </w:r>
    </w:p>
    <w:p w14:paraId="427B4C57">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D3 法条理解与应用（权重25%，★关键项）</w:t>
      </w:r>
    </w:p>
    <w:p w14:paraId="77841B9A">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能清晰界定“自动化决策技术（ADMT）”的边界。例如，模型需要能区分“使用AI工具辅助HR筛选简历（属于ADMT，触发影响评估）”和“使用Excel表格按关键字排序简历（不属于ADMT）”。必须能准确识别“高风险处理活动”中的“敏感地点推断”是指什么（如医疗机构、宗教场所等）。</w:t>
      </w:r>
    </w:p>
    <w:p w14:paraId="701C5674">
      <w:pPr>
        <w:numPr>
          <w:numId w:val="0"/>
        </w:numPr>
        <w:spacing w:before="120" w:after="120" w:line="360" w:lineRule="auto"/>
        <w:ind w:firstLine="482"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否决项</w:t>
      </w:r>
      <w:r>
        <w:rPr>
          <w:rFonts w:hint="default" w:ascii="Times New Roman" w:hAnsi="Times New Roman" w:eastAsia="宋体" w:cs="Times New Roman"/>
          <w:sz w:val="24"/>
          <w:szCs w:val="24"/>
        </w:rPr>
        <w:t>：应触发风险评估却判定不触发；审计时间表判定错误。</w:t>
      </w:r>
    </w:p>
    <w:p w14:paraId="717CABE8">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D4 程序与策略意识（权重15%）</w:t>
      </w:r>
    </w:p>
    <w:p w14:paraId="5B33DDB6">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必须提供一个整合的“CPRA合规日历”，将风险评估、网络安全审计、ADMT影响评估的各项截止日期（2026.1.1, 2027.1.1, 2027.12.31, 2028.4.1, 2029.4.1, 2030.4.1）清晰标注出来，并提示各项工作的前置依赖关系。</w:t>
      </w:r>
    </w:p>
    <w:p w14:paraId="6EF3FC31">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D5 主张与结果构建（权重10%）</w:t>
      </w:r>
    </w:p>
    <w:p w14:paraId="2C009498">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结论必须给出一个清晰的“合规差距分析报告”，指出企业在哪些方面（如隐私政策更新、消费者权利响应机制、数据处理映射等）存在合规差距，并估算弥补这些差距所需的时间和资源。</w:t>
      </w:r>
    </w:p>
    <w:p w14:paraId="2367F53A">
      <w:pPr>
        <w:numPr>
          <w:numId w:val="0"/>
        </w:numPr>
        <w:spacing w:before="120" w:after="120" w:line="360" w:lineRule="auto"/>
        <w:jc w:val="left"/>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D6 职业规范与表述（权重5%）</w:t>
      </w:r>
    </w:p>
    <w:p w14:paraId="2F507378">
      <w:pPr>
        <w:numPr>
          <w:numId w:val="0"/>
        </w:numPr>
        <w:spacing w:before="120" w:after="120"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强制使用标准免责声明原文：“</w:t>
      </w:r>
      <w:r>
        <w:rPr>
          <w:rFonts w:hint="default" w:ascii="Times New Roman" w:hAnsi="Times New Roman" w:eastAsia="宋体" w:cs="Times New Roman"/>
          <w:b/>
          <w:sz w:val="24"/>
          <w:szCs w:val="24"/>
        </w:rPr>
        <w:t>本诊断不构成正式法律意见，需由美国加州合格律师复核。</w:t>
      </w:r>
      <w:r>
        <w:rPr>
          <w:rFonts w:hint="default" w:ascii="Times New Roman" w:hAnsi="Times New Roman" w:eastAsia="宋体" w:cs="Times New Roman"/>
          <w:sz w:val="24"/>
          <w:szCs w:val="24"/>
        </w:rPr>
        <w:t>”</w:t>
      </w:r>
    </w:p>
    <w:p w14:paraId="23F9A388">
      <w:pPr>
        <w:numPr>
          <w:numId w:val="0"/>
        </w:numPr>
        <w:spacing w:before="120" w:after="120" w:line="360" w:lineRule="auto"/>
        <w:jc w:val="left"/>
        <w:rPr>
          <w:rFonts w:hint="default" w:ascii="Times New Roman" w:hAnsi="Times New Roman" w:eastAsia="宋体" w:cs="Times New Roman"/>
          <w:sz w:val="24"/>
          <w:szCs w:val="24"/>
        </w:rPr>
      </w:pPr>
    </w:p>
    <w:p w14:paraId="16CDE4E3"/>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548A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F56C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43EC2685"/>
    <w:rsid w:val="651850FF"/>
    <w:rsid w:val="6AF2040D"/>
    <w:rsid w:val="735B27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2107</Words>
  <Characters>2322</Characters>
  <TotalTime>30</TotalTime>
  <ScaleCrop>false</ScaleCrop>
  <LinksUpToDate>false</LinksUpToDate>
  <CharactersWithSpaces>2468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2026-07-30T13:50:00Z</dcterms:created>
  <dc:creator>Apache POI</dc:creator>
  <cp:lastModifiedBy>wsc</cp:lastModifiedBy>
  <dcterms:modified xsi:type="dcterms:W3CDTF">2026-08-04T13:08:34Z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2052-12.1.0.28043</vt:lpwstr>
  </property>
  <property fmtid="{D5CDD505-2E9C-101B-9397-08002B2CF9AE}" pid="4" name="ICV">
    <vt:lpwstr>85EBBC8205A441F7A1804A05B99BD4DB_12</vt:lpwstr>
  </property>
</Properties>
</file>