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00"/>
      </w:pPr>
      <w:r>
        <w:rPr>
          <w:rFonts w:ascii="Arial" w:eastAsia="Microsoft YaHei" w:hAnsi="Arial"/>
          <w:b/>
          <w:bCs/>
          <w:sz w:val="32"/>
          <w:szCs w:val="32"/>
        </w:rPr>
        <w:t xml:space="preserve">任务5 案例2：法国零售商向印度呼叫中心传输客户数据</w:t>
      </w:r>
    </w:p>
    <w:p>
      <w:pPr>
        <w:pStyle w:val="Heading2"/>
        <w:spacing w:after="100" w:before="200"/>
      </w:pPr>
      <w:r>
        <w:rPr>
          <w:rFonts w:ascii="Arial" w:eastAsia="Microsoft YaHei" w:hAnsi="Arial"/>
          <w:b/>
          <w:bCs/>
          <w:sz w:val="26"/>
          <w:szCs w:val="26"/>
        </w:rPr>
        <w:t xml:space="preserve">一、用户输入</w:t>
      </w:r>
    </w:p>
    <w:p>
      <w:pPr>
        <w:spacing w:after="60" w:before="60"/>
      </w:pPr>
      <w:r>
        <w:rPr>
          <w:rFonts w:ascii="Arial" w:eastAsia="Microsoft YaHei" w:hAnsi="Arial"/>
          <w:sz w:val="22"/>
          <w:szCs w:val="22"/>
        </w:rPr>
        <w:t xml:space="preserve">【数规通系统填写 — SCC文件摘要】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合同双方（出口方/进口方）</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数据出口方：法国某连锁零售商（200余家门店，数据控制者）；数据进口方：印度班加罗尔某呼叫中心（数据处理者）</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数据传输描述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客户联系方式、购买记录、客服通话录音，传输至印度呼叫中心用于客户服务</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传输工具及条款</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双方签署《IT外包服务合同》（含数据保密义务条款），未签署SCC</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数据类别</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联系方式、购买记录、通话录音（通话录音可能涉及健康、宗教等敏感话题）</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文件来源</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2024年签署的IT外包服务合同（PDF）</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TIA评估记录</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【缺失——未进行TIA】</w:t>
            </w:r>
          </w:p>
        </w:tc>
      </w:tr>
    </w:tbl>
    <w:p>
      <w:pPr>
        <w:spacing w:before="80"/>
      </w:pPr>
    </w:p>
    <w:p>
      <w:pPr>
        <w:spacing w:after="60" w:before="60"/>
      </w:pPr>
      <w:r>
        <w:rPr>
          <w:rFonts w:ascii="Arial" w:eastAsia="Microsoft YaHei" w:hAnsi="Arial"/>
          <w:sz w:val="22"/>
          <w:szCs w:val="22"/>
        </w:rPr>
        <w:t xml:space="preserve">【上传方陈述】</w:t>
      </w:r>
    </w:p>
    <w:p>
      <w:pPr>
        <w:spacing w:after="60" w:before="60"/>
      </w:pPr>
      <w:r>
        <w:rPr>
          <w:rFonts w:ascii="Arial" w:eastAsia="Microsoft YaHei" w:hAnsi="Arial"/>
          <w:sz w:val="22"/>
          <w:szCs w:val="22"/>
        </w:rPr>
        <w:t xml:space="preserve">这家印度公司规模很大，声称他们自己已经通过了各种国际认证，合规的事情由他们自己负责就行了，我们作为甲方不用操心。我们双方签了一份普通的IT外包服务合同，里面写明了数据保密义务。我觉得这样应该没问题吧，毕竟人家是专业做这个的，印度那边数据保护要求也没欧洲这么严，我们管好自己的门店销售数据就行了。不过最近听说欧盟对跨境数据传输管得越来越严，我们有点拿不准，心里不太踏实。</w:t>
      </w:r>
    </w:p>
    <w:p>
      <w:pPr>
        <w:pStyle w:val="Heading2"/>
        <w:spacing w:after="100" w:before="200"/>
      </w:pPr>
      <w:r>
        <w:rPr>
          <w:rFonts w:ascii="Arial" w:eastAsia="Microsoft YaHei" w:hAnsi="Arial"/>
          <w:b/>
          <w:bCs/>
          <w:sz w:val="26"/>
          <w:szCs w:val="26"/>
        </w:rPr>
        <w:t xml:space="preserve">二、标准答案（即系统输出）</w:t>
      </w:r>
    </w:p>
    <w:p>
      <w:pPr>
        <w:spacing w:after="60" w:before="140"/>
      </w:pPr>
      <w:r>
        <w:rPr>
          <w:rFonts w:ascii="Arial" w:eastAsia="Microsoft YaHei" w:hAnsi="Arial"/>
          <w:b/>
          <w:bCs/>
          <w:sz w:val="23"/>
          <w:szCs w:val="23"/>
        </w:rPr>
        <w:t xml:space="preserve">《SCC合规审查报告》</w:t>
      </w:r>
    </w:p>
    <w:p>
      <w:pPr>
        <w:spacing w:after="60" w:before="140"/>
      </w:pPr>
      <w:r>
        <w:rPr>
          <w:rFonts w:ascii="Arial" w:eastAsia="Microsoft YaHei" w:hAnsi="Arial"/>
          <w:b/>
          <w:bCs/>
          <w:sz w:val="23"/>
          <w:szCs w:val="23"/>
        </w:rPr>
        <w:t xml:space="preserve">一、文件概要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文件名称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IT外包服务合同</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文件类型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商业外包合同（非SCC）</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审查日期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2025年</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审查范围</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跨境数据传输合规性（法国→印度）、处理者管理、特殊类别数据处理</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审查依据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GDPR Art. 5, 9, 28, 44, 46; Commission Implementing Decision (EU) 2021/914; Schrems II; 印度DPDPA 2023; IT Act 2000</w:t>
            </w:r>
          </w:p>
        </w:tc>
      </w:tr>
    </w:tbl>
    <w:p>
      <w:pPr>
        <w:spacing w:before="80"/>
      </w:pPr>
    </w:p>
    <w:p>
      <w:pPr>
        <w:spacing w:after="60" w:before="140"/>
      </w:pPr>
      <w:r>
        <w:rPr>
          <w:rFonts w:ascii="Arial" w:eastAsia="Microsoft YaHei" w:hAnsi="Arial"/>
          <w:b/>
          <w:bCs/>
          <w:sz w:val="23"/>
          <w:szCs w:val="23"/>
        </w:rPr>
        <w:t xml:space="preserve">二、总体合规评级</w:t>
      </w:r>
    </w:p>
    <w:p>
      <w:pPr>
        <w:spacing w:after="60" w:before="60"/>
      </w:pPr>
      <w:r>
        <w:rPr>
          <w:rFonts w:ascii="Arial" w:eastAsia="Microsoft YaHei" w:hAnsi="Arial"/>
          <w:b/>
          <w:bCs/>
          <w:sz w:val="22"/>
          <w:szCs w:val="22"/>
        </w:rPr>
        <w:t xml:space="preserve">合规评级：不合规（极高风险）</w:t>
      </w:r>
    </w:p>
    <w:p>
      <w:pPr>
        <w:spacing w:after="60" w:before="60"/>
      </w:pPr>
      <w:r>
        <w:rPr>
          <w:rFonts w:ascii="Arial" w:eastAsia="Microsoft YaHei" w:hAnsi="Arial"/>
          <w:sz w:val="22"/>
          <w:szCs w:val="22"/>
        </w:rPr>
        <w:t xml:space="preserve">存在多重合规缺陷：未签署SCC Module 2、未进行TIA、未评估印度法律环境、错误地将合规责任推给供应商。此外，通话录音可能涉及GDPR第9条特殊类别数据，需额外审查合法性基础。数据控制者不能通过外包转移其合规义务（问责制原则）。</w:t>
      </w:r>
    </w:p>
    <w:p>
      <w:pPr>
        <w:spacing w:before="80"/>
      </w:pPr>
    </w:p>
    <w:p>
      <w:pPr>
        <w:spacing w:after="60" w:before="140"/>
      </w:pPr>
      <w:r>
        <w:rPr>
          <w:rFonts w:ascii="Arial" w:eastAsia="Microsoft YaHei" w:hAnsi="Arial"/>
          <w:b/>
          <w:bCs/>
          <w:sz w:val="23"/>
          <w:szCs w:val="23"/>
        </w:rPr>
        <w:t xml:space="preserve">三、条款级审查发现</w:t>
      </w:r>
    </w:p>
    <w:p>
      <w:pPr>
        <w:spacing w:after="60" w:before="140"/>
      </w:pPr>
      <w:r>
        <w:rPr>
          <w:rFonts w:ascii="Arial" w:eastAsia="Microsoft YaHei" w:hAnsi="Arial"/>
          <w:b/>
          <w:bCs/>
          <w:sz w:val="23"/>
          <w:szCs w:val="23"/>
        </w:rPr>
        <w:t xml:space="preserve">审查发现1：合规责任误判——控制者义务不可转移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条款定位</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上传方陈述——"合规的事情由他们自己负责就行了"</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原文引用</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"合规的事情由他们自己负责就行了，我们作为甲方不用操心"</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问题类型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责任认知错误</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风险分析</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根据GDPR第5(2)条问责制原则和第28(2)条，控制者对处理者的选任和监督负有不可转移的义务。即使合同约定供应商负责合规，控制者仍承担法律责任。控制者须确保处理者提供充分保障，并对其合规状态进行持续监督。此误判可能导致控制者在发生数据泄露时承担全部法律责任。</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法规依据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GDPR Art. 5(2)（问责制）; GDPR Art. 28(1)-(2)（处理者选任与监督义务）</w:t>
            </w:r>
          </w:p>
        </w:tc>
      </w:tr>
    </w:tbl>
    <w:p>
      <w:pPr>
        <w:spacing w:after="60" w:before="60"/>
      </w:pPr>
      <w:r>
        <w:rPr>
          <w:rFonts w:ascii="Arial" w:eastAsia="Microsoft YaHei" w:hAnsi="Arial"/>
          <w:b/>
          <w:bCs/>
          <w:sz w:val="22"/>
          <w:szCs w:val="22"/>
        </w:rPr>
        <w:t xml:space="preserve">修改建议：</w:t>
      </w:r>
    </w:p>
    <w:p>
      <w:pPr>
        <w:spacing w:after="40" w:before="40"/>
        <w:ind w:left="720" w:hanging="360"/>
      </w:pPr>
      <w:r>
        <w:rPr>
          <w:rFonts w:ascii="Arial" w:eastAsia="Microsoft YaHei" w:hAnsi="Arial"/>
          <w:sz w:val="22"/>
          <w:szCs w:val="22"/>
        </w:rPr>
        <w:t xml:space="preserve">1. 纠正合规责任认知：控制者对跨境传输合规负有最终责任，不能依赖处理者的自我声明</w:t>
      </w:r>
    </w:p>
    <w:p>
      <w:pPr>
        <w:spacing w:after="40" w:before="40"/>
        <w:ind w:left="720" w:hanging="360"/>
      </w:pPr>
      <w:r>
        <w:rPr>
          <w:rFonts w:ascii="Arial" w:eastAsia="Microsoft YaHei" w:hAnsi="Arial"/>
          <w:sz w:val="22"/>
          <w:szCs w:val="22"/>
        </w:rPr>
        <w:t xml:space="preserve">2. 依据第28(2)条对呼叫中心进行尽职调查，审查其安全认证（如ISO 27001）的实际覆盖范围</w:t>
      </w:r>
    </w:p>
    <w:p>
      <w:pPr>
        <w:spacing w:after="40" w:before="40"/>
        <w:ind w:left="720" w:hanging="360"/>
      </w:pPr>
      <w:r>
        <w:rPr>
          <w:rFonts w:ascii="Arial" w:eastAsia="Microsoft YaHei" w:hAnsi="Arial"/>
          <w:sz w:val="22"/>
          <w:szCs w:val="22"/>
        </w:rPr>
        <w:t xml:space="preserve">3. 在合同中明确处理者的具体义务清单和违约责任，而非笼统的"合规由乙方负责"</w:t>
      </w:r>
    </w:p>
    <w:p>
      <w:pPr>
        <w:spacing w:after="40" w:before="40"/>
        <w:ind w:left="720" w:hanging="360"/>
      </w:pPr>
      <w:r>
        <w:rPr>
          <w:rFonts w:ascii="Arial" w:eastAsia="Microsoft YaHei" w:hAnsi="Arial"/>
          <w:sz w:val="22"/>
          <w:szCs w:val="22"/>
        </w:rPr>
        <w:t xml:space="preserve">4. 建立年度审计机制，定期核查处理者的合规状态</w:t>
      </w:r>
    </w:p>
    <w:p>
      <w:pPr>
        <w:spacing w:before="80"/>
      </w:pPr>
    </w:p>
    <w:p>
      <w:pPr>
        <w:spacing w:after="60" w:before="140"/>
      </w:pPr>
      <w:r>
        <w:rPr>
          <w:rFonts w:ascii="Arial" w:eastAsia="Microsoft YaHei" w:hAnsi="Arial"/>
          <w:b/>
          <w:bCs/>
          <w:sz w:val="23"/>
          <w:szCs w:val="23"/>
        </w:rPr>
        <w:t xml:space="preserve">审查发现2：SCC Module 2缺失及TIA未进行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条款定位</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全文——仅签署IT外包合同，无SCC；无TIA记录</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原文引用</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"双方签署《IT外包服务合同》（含数据保密义务条款），未签署SCC"</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问题类型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传输工具与评估双重缺失</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风险分析</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印度未获得欧盟适足性认定，必须依赖SCC等适当保障措施。当前仅有商业外包合同，既无SCC也无TIA，构成GDPR第44条的实质性违法。此外，印度IT Act第69条赋予政府数据调取权，DPDPA 2023执法机制尚不成熟，TIA中必须重点评估这些法律风险。</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法规依据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GDPR Art. 44, 46(2)(c); Commission Implementing Decision (EU) 2021/914 Module 2; Schrems II; EDPB Recommendations 01/2020; 印度IT Act 2000 Section 69; DPDPA 2023</w:t>
            </w:r>
          </w:p>
        </w:tc>
      </w:tr>
    </w:tbl>
    <w:p>
      <w:pPr>
        <w:spacing w:after="60" w:before="60"/>
      </w:pPr>
      <w:r>
        <w:rPr>
          <w:rFonts w:ascii="Arial" w:eastAsia="Microsoft YaHei" w:hAnsi="Arial"/>
          <w:b/>
          <w:bCs/>
          <w:sz w:val="22"/>
          <w:szCs w:val="22"/>
        </w:rPr>
        <w:t xml:space="preserve">修改建议：</w:t>
      </w:r>
    </w:p>
    <w:p>
      <w:pPr>
        <w:spacing w:after="40" w:before="40"/>
        <w:ind w:left="720" w:hanging="360"/>
      </w:pPr>
      <w:r>
        <w:rPr>
          <w:rFonts w:ascii="Arial" w:eastAsia="Microsoft YaHei" w:hAnsi="Arial"/>
          <w:sz w:val="22"/>
          <w:szCs w:val="22"/>
        </w:rPr>
        <w:t xml:space="preserve">1. 在45天内签署SCC Module 2（2021/914版本）作为外包合同附件</w:t>
      </w:r>
    </w:p>
    <w:p>
      <w:pPr>
        <w:spacing w:after="40" w:before="40"/>
        <w:ind w:left="720" w:hanging="360"/>
      </w:pPr>
      <w:r>
        <w:rPr>
          <w:rFonts w:ascii="Arial" w:eastAsia="Microsoft YaHei" w:hAnsi="Arial"/>
          <w:sz w:val="22"/>
          <w:szCs w:val="22"/>
        </w:rPr>
        <w:t xml:space="preserve">2. 在90天内完成完整TIA，重点评估印度IT Act第69条政府调取权和DPDPA 2023执法机制</w:t>
      </w:r>
    </w:p>
    <w:p>
      <w:pPr>
        <w:spacing w:after="40" w:before="40"/>
        <w:ind w:left="720" w:hanging="360"/>
      </w:pPr>
      <w:r>
        <w:rPr>
          <w:rFonts w:ascii="Arial" w:eastAsia="Microsoft YaHei" w:hAnsi="Arial"/>
          <w:sz w:val="22"/>
          <w:szCs w:val="22"/>
        </w:rPr>
        <w:t xml:space="preserve">3. 按照EDPB六步法形成书面TIA报告，包括补充措施的必要性判断</w:t>
      </w:r>
    </w:p>
    <w:p>
      <w:pPr>
        <w:spacing w:after="40" w:before="40"/>
        <w:ind w:left="720" w:hanging="360"/>
      </w:pPr>
      <w:r>
        <w:rPr>
          <w:rFonts w:ascii="Arial" w:eastAsia="Microsoft YaHei" w:hAnsi="Arial"/>
          <w:sz w:val="22"/>
          <w:szCs w:val="22"/>
        </w:rPr>
        <w:t xml:space="preserve">4. 在TIA中确认印度法律是否存在强制数据本地化要求或政府批量调取权的实际行使情况</w:t>
      </w:r>
    </w:p>
    <w:p>
      <w:pPr>
        <w:spacing w:before="80"/>
      </w:pPr>
    </w:p>
    <w:p>
      <w:pPr>
        <w:spacing w:after="60" w:before="140"/>
      </w:pPr>
      <w:r>
        <w:rPr>
          <w:rFonts w:ascii="Arial" w:eastAsia="Microsoft YaHei" w:hAnsi="Arial"/>
          <w:b/>
          <w:bCs/>
          <w:sz w:val="23"/>
          <w:szCs w:val="23"/>
        </w:rPr>
        <w:t xml:space="preserve">审查发现3：通话录音涉及特殊类别数据——合法性基础未审查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条款定位</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数据传输描述——"客服通话录音"</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原文引用</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"客户联系方式、购买记录、客服通话录音"</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问题类型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特殊类别数据处理合法性缺失</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风险分析</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通话录音中客户可能无意间透露健康、宗教信仰、政治观点等信息，构成GDPR第9条特殊类别数据。第9(1)条原则上禁止处理此类数据，须满足第9(2)条例外条件（如明示同意）。此外，法国《刑法典》第226-1条对未经同意录音有刑事处罚。当前未审查通话录音的合法性基础。</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法规依据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GDPR Art. 9(1)（特殊类别数据禁止）; GDPR Art. 9(2)(a)（明示同意）; GDPR Art. 5(1)(c)（数据最小化）; 法国《刑法典》第226-1条</w:t>
            </w:r>
          </w:p>
        </w:tc>
      </w:tr>
    </w:tbl>
    <w:p>
      <w:pPr>
        <w:spacing w:after="60" w:before="60"/>
      </w:pPr>
      <w:r>
        <w:rPr>
          <w:rFonts w:ascii="Arial" w:eastAsia="Microsoft YaHei" w:hAnsi="Arial"/>
          <w:b/>
          <w:bCs/>
          <w:sz w:val="22"/>
          <w:szCs w:val="22"/>
        </w:rPr>
        <w:t xml:space="preserve">修改建议：</w:t>
      </w:r>
    </w:p>
    <w:p>
      <w:pPr>
        <w:spacing w:after="40" w:before="40"/>
        <w:ind w:left="720" w:hanging="360"/>
      </w:pPr>
      <w:r>
        <w:rPr>
          <w:rFonts w:ascii="Arial" w:eastAsia="Microsoft YaHei" w:hAnsi="Arial"/>
          <w:sz w:val="22"/>
          <w:szCs w:val="22"/>
        </w:rPr>
        <w:t xml:space="preserve">1. 审查通话录音的合法性基础：确认是否有客户明示同意（第9(2)(a)条），且同意须满足第7条条件（自由、具体、知情、明确）</w:t>
      </w:r>
    </w:p>
    <w:p>
      <w:pPr>
        <w:spacing w:after="40" w:before="40"/>
        <w:ind w:left="720" w:hanging="360"/>
      </w:pPr>
      <w:r>
        <w:rPr>
          <w:rFonts w:ascii="Arial" w:eastAsia="Microsoft YaHei" w:hAnsi="Arial"/>
          <w:sz w:val="22"/>
          <w:szCs w:val="22"/>
        </w:rPr>
        <w:t xml:space="preserve">2. 评估是否真正需要通话录音——考虑改为仅记录文字摘要以大幅降低风险</w:t>
      </w:r>
    </w:p>
    <w:p>
      <w:pPr>
        <w:spacing w:after="40" w:before="40"/>
        <w:ind w:left="720" w:hanging="360"/>
      </w:pPr>
      <w:r>
        <w:rPr>
          <w:rFonts w:ascii="Arial" w:eastAsia="Microsoft YaHei" w:hAnsi="Arial"/>
          <w:sz w:val="22"/>
          <w:szCs w:val="22"/>
        </w:rPr>
        <w:t xml:space="preserve">3. 若保留录音，实施严格的访问控制和定期删除机制（如30天后自动删除）</w:t>
      </w:r>
    </w:p>
    <w:p>
      <w:pPr>
        <w:spacing w:after="40" w:before="40"/>
        <w:ind w:left="720" w:hanging="360"/>
      </w:pPr>
      <w:r>
        <w:rPr>
          <w:rFonts w:ascii="Arial" w:eastAsia="Microsoft YaHei" w:hAnsi="Arial"/>
          <w:sz w:val="22"/>
          <w:szCs w:val="22"/>
        </w:rPr>
        <w:t xml:space="preserve">4. 对通话录音实施端到端加密，限制呼叫中心员工仅能访问业务必要字段，禁止导出原始录音</w:t>
      </w:r>
    </w:p>
    <w:p>
      <w:pPr>
        <w:spacing w:before="80"/>
      </w:pPr>
    </w:p>
    <w:p>
      <w:pPr>
        <w:spacing w:after="60" w:before="140"/>
      </w:pPr>
      <w:r>
        <w:rPr>
          <w:rFonts w:ascii="Arial" w:eastAsia="Microsoft YaHei" w:hAnsi="Arial"/>
          <w:b/>
          <w:bCs/>
          <w:sz w:val="23"/>
          <w:szCs w:val="23"/>
        </w:rPr>
        <w:t xml:space="preserve">审查发现4：技术补充措施缺失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条款定位</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全文——仅有保密义务条款，无技术保障措施约定</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原文引用</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"数据保密义务条款"</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问题类型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补充措施缺失</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风险分析</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由于印度政府调取权（IT Act第69条）存在，仅靠SCC可能无法提供充分保护。EDPB建议采取技术补充措施。当前未约定任何补充措施，客户数据在印度呼叫中心处以可被明文访问和导出的状态。</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法规依据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EDPB Recommendations 01/2020 Step 4; GDPR Art. 32（处理安全）</w:t>
            </w:r>
          </w:p>
        </w:tc>
      </w:tr>
    </w:tbl>
    <w:p>
      <w:pPr>
        <w:spacing w:after="60" w:before="60"/>
      </w:pPr>
      <w:r>
        <w:rPr>
          <w:rFonts w:ascii="Arial" w:eastAsia="Microsoft YaHei" w:hAnsi="Arial"/>
          <w:b/>
          <w:bCs/>
          <w:sz w:val="22"/>
          <w:szCs w:val="22"/>
        </w:rPr>
        <w:t xml:space="preserve">修改建议：</w:t>
      </w:r>
    </w:p>
    <w:p>
      <w:pPr>
        <w:spacing w:after="40" w:before="40"/>
        <w:ind w:left="720" w:hanging="360"/>
      </w:pPr>
      <w:r>
        <w:rPr>
          <w:rFonts w:ascii="Arial" w:eastAsia="Microsoft YaHei" w:hAnsi="Arial"/>
          <w:sz w:val="22"/>
          <w:szCs w:val="22"/>
        </w:rPr>
        <w:t xml:space="preserve">1. 对传输至印度的数据采用强加密和假名化，仅传输业务必要字段（数据最小化原则）</w:t>
      </w:r>
    </w:p>
    <w:p>
      <w:pPr>
        <w:spacing w:after="40" w:before="40"/>
        <w:ind w:left="720" w:hanging="360"/>
      </w:pPr>
      <w:r>
        <w:rPr>
          <w:rFonts w:ascii="Arial" w:eastAsia="Microsoft YaHei" w:hAnsi="Arial"/>
          <w:sz w:val="22"/>
          <w:szCs w:val="22"/>
        </w:rPr>
        <w:t xml:space="preserve">2. 实施基于角色的访问控制，呼叫中心员工仅能访问当前服务所需的最少数据</w:t>
      </w:r>
    </w:p>
    <w:p>
      <w:pPr>
        <w:spacing w:after="40" w:before="40"/>
        <w:ind w:left="720" w:hanging="360"/>
      </w:pPr>
      <w:r>
        <w:rPr>
          <w:rFonts w:ascii="Arial" w:eastAsia="Microsoft YaHei" w:hAnsi="Arial"/>
          <w:sz w:val="22"/>
          <w:szCs w:val="22"/>
        </w:rPr>
        <w:t xml:space="preserve">3. 在SCC或合同补充条款中明确约定技术补充措施的实施标准和审计权利</w:t>
      </w:r>
    </w:p>
    <w:p>
      <w:pPr>
        <w:spacing w:after="40" w:before="40"/>
        <w:ind w:left="720" w:hanging="360"/>
      </w:pPr>
      <w:r>
        <w:rPr>
          <w:rFonts w:ascii="Arial" w:eastAsia="Microsoft YaHei" w:hAnsi="Arial"/>
          <w:sz w:val="22"/>
          <w:szCs w:val="22"/>
        </w:rPr>
        <w:t xml:space="preserve">4. 部署数据防泄漏（DLP）系统，监控和阻止异常数据导出行为</w:t>
      </w:r>
    </w:p>
    <w:p>
      <w:pPr>
        <w:spacing w:before="80"/>
      </w:pPr>
    </w:p>
    <w:p>
      <w:pPr>
        <w:pStyle w:val="Heading2"/>
        <w:spacing w:after="100" w:before="200"/>
      </w:pPr>
      <w:r>
        <w:rPr>
          <w:rFonts w:ascii="Arial" w:eastAsia="Microsoft YaHei" w:hAnsi="Arial"/>
          <w:b/>
          <w:bCs/>
          <w:sz w:val="26"/>
          <w:szCs w:val="26"/>
        </w:rPr>
        <w:t xml:space="preserve">三、备注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噪声类型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误导、缺失</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难度等级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困难</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覆盖场景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SCC模块选择、完整TIA流程、补充措施、处理者管理、特殊类别数据</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适用法域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欧盟</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00" w:before="200"/>
      <w:outlineLvl w:val="1"/>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2026-07-30T16:17:25.910Z</dcterms:created>
  <dcterms:modified xsi:type="dcterms:W3CDTF">2026-07-30T16:17:25.910Z</dcterms:modified>
</cp:coreProperties>
</file>

<file path=docProps/custom.xml><?xml version="1.0" encoding="utf-8"?>
<Properties xmlns="http://schemas.openxmlformats.org/officeDocument/2006/custom-properties" xmlns:vt="http://schemas.openxmlformats.org/officeDocument/2006/docPropsVTypes"/>
</file>