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任务5 案例4：意大利制造商向中国子公司传输员工数据</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SCC文件摘要】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合同双方（出口方/进口方）</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数据出口方：意大利某制造商（数据控制者）；数据进口方：中国上海某全资子公司（数据控制者）</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数据传输描述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员工人事档案、薪酬数据、绩效评估、考勤记录，传输至中国子公司用于全球人力资源管理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传输工具及条款</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集团内部数据传输协议，含保密条款和"合同保护"条款，未签署SCC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员工人事数据、薪酬数据、绩效评估（含部分健康信息如病假记录）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文件来源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2024年集团内部数据传输协议（中英双语）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中国政府数据访问法评估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【缺失——未评估中国PIPL/DSL/CSL下的政府数据访问权】</w:t>
            </w:r>
          </w:p>
        </w:tc>
      </w:tr>
    </w:tbl>
    <w:p>
      <w:pPr>
        <w:spacing w:before="80"/>
      </w:pPr>
    </w:p>
    <w:p>
      <w:pPr>
        <w:spacing w:after="60" w:before="60"/>
      </w:pPr>
      <w:r>
        <w:rPr>
          <w:rFonts w:ascii="Arial" w:eastAsia="Microsoft YaHei" w:hAnsi="Arial"/>
          <w:sz w:val="22"/>
          <w:szCs w:val="22"/>
        </w:rPr>
        <w:t xml:space="preserve">【上传方陈述】</w:t>
      </w:r>
    </w:p>
    <w:p>
      <w:pPr>
        <w:spacing w:after="60" w:before="60"/>
      </w:pPr>
      <w:r>
        <w:rPr>
          <w:rFonts w:ascii="Arial" w:eastAsia="Microsoft YaHei" w:hAnsi="Arial"/>
          <w:sz w:val="22"/>
          <w:szCs w:val="22"/>
        </w:rPr>
        <w:t xml:space="preserve">我们和中国子公司之间有合同保护，合同里明确写了数据保密和义务条款，应该足够了吧？毕竟是我们自己的子公司，又不是外包给第三方。中国那么大，法律体系也很完善，有合同保护就够了，不需要搞那么多复杂的评估。不过最近听说中国出了新的数据法律，我们有点担心会不会有影响。</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《SCC合规审查报告》</w:t>
      </w:r>
    </w:p>
    <w:p>
      <w:pPr>
        <w:spacing w:after="60" w:before="140"/>
      </w:pPr>
      <w:r>
        <w:rPr>
          <w:rFonts w:ascii="Arial" w:eastAsia="Microsoft YaHei" w:hAnsi="Arial"/>
          <w:b/>
          <w:bCs/>
          <w:sz w:val="23"/>
          <w:szCs w:val="23"/>
        </w:rPr>
        <w:t xml:space="preserve">一、文件概要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集团内部数据传输协议（中英双语）</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文件类型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集团内部协议（非SCC）</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审查日期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2025年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审查范围</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跨境数据传输合规性（意大利→中国）、中国数据法律环境评估、员工数据保护</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审查依据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44-49; Commission Implementing Decision (EU) 2021/914; Schrems II; EDPB Recommendations 01/2020; 中国PIPL 2021; DSL 2021; CSL 2017</w:t>
            </w:r>
          </w:p>
        </w:tc>
      </w:tr>
    </w:tbl>
    <w:p>
      <w:pPr>
        <w:spacing w:before="80"/>
      </w:pPr>
    </w:p>
    <w:p>
      <w:pPr>
        <w:spacing w:after="60" w:before="140"/>
      </w:pPr>
      <w:r>
        <w:rPr>
          <w:rFonts w:ascii="Arial" w:eastAsia="Microsoft YaHei" w:hAnsi="Arial"/>
          <w:b/>
          <w:bCs/>
          <w:sz w:val="23"/>
          <w:szCs w:val="23"/>
        </w:rPr>
        <w:t xml:space="preserve">二、总体合规评级</w:t>
      </w:r>
    </w:p>
    <w:p>
      <w:pPr>
        <w:spacing w:after="60" w:before="60"/>
      </w:pPr>
      <w:r>
        <w:rPr>
          <w:rFonts w:ascii="Arial" w:eastAsia="Microsoft YaHei" w:hAnsi="Arial"/>
          <w:b/>
          <w:bCs/>
          <w:sz w:val="22"/>
          <w:szCs w:val="22"/>
        </w:rPr>
        <w:t xml:space="preserve">合规评级：不合规（极高风险）</w:t>
      </w:r>
    </w:p>
    <w:p>
      <w:pPr>
        <w:spacing w:after="60" w:before="60"/>
      </w:pPr>
      <w:r>
        <w:rPr>
          <w:rFonts w:ascii="Arial" w:eastAsia="Microsoft YaHei" w:hAnsi="Arial"/>
          <w:sz w:val="22"/>
          <w:szCs w:val="22"/>
        </w:rPr>
        <w:t xml:space="preserve">当前文件为集团内部协议，不构成GDPR第46条项下的适当保障措施。中国于2021年相继实施PIPL、DSL和CSL，其中包含政府数据调取权和数据本地化要求。未进行深度TIA评估中国法律环境，"有合同保护就够了"的认知严重错误。员工数据中包含病假记录等健康信息，涉及GDPR第9条特殊类别数据。须签署SCC Module 1并完成深度TIA，同时采取强加密等补充措施。</w:t>
      </w:r>
    </w:p>
    <w:p>
      <w:pPr>
        <w:spacing w:before="80"/>
      </w:pPr>
    </w:p>
    <w:p>
      <w:pPr>
        <w:spacing w:after="60" w:before="140"/>
      </w:pPr>
      <w:r>
        <w:rPr>
          <w:rFonts w:ascii="Arial" w:eastAsia="Microsoft YaHei" w:hAnsi="Arial"/>
          <w:b/>
          <w:bCs/>
          <w:sz w:val="23"/>
          <w:szCs w:val="23"/>
        </w:rPr>
        <w:t xml:space="preserve">三、条款级审查发现</w:t>
      </w:r>
    </w:p>
    <w:p>
      <w:pPr>
        <w:spacing w:after="60" w:before="140"/>
      </w:pPr>
      <w:r>
        <w:rPr>
          <w:rFonts w:ascii="Arial" w:eastAsia="Microsoft YaHei" w:hAnsi="Arial"/>
          <w:b/>
          <w:bCs/>
          <w:sz w:val="23"/>
          <w:szCs w:val="23"/>
        </w:rPr>
        <w:t xml:space="preserve">审查发现1：SCC缺失及"合同保护"认知错误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上传方陈述——"有合同保护就够了"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"我们和中国子公司之间有合同保护，合同里明确写了数据保密和义务条款，应该足够了吧"</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传输工具缺失与认知错误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集团内部协议中的保密条款不等同于SCC，无法满足GDPR第46条要求的适当保障措施。中国未获得欧盟适足性认定，必须依赖SCC或BCR等工具。"有合同保护就够了"忽略了Schrems II判决确立的核心原则：合同条款的有效性取决于目的地国法律是否实质性地削弱合同保护。仅靠合同文本无法对抗政府强制调取权。</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 Art. 46(2)(c); Schrems II (C-311/18); Commission Implementing Decision (EU) 2021/914 Module 1（控制者→控制者）</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立即签署SCC Module 1（控制者→控制者，2021/914版本）作为内部协议附件</w:t>
      </w:r>
    </w:p>
    <w:p>
      <w:pPr>
        <w:spacing w:after="40" w:before="40"/>
        <w:ind w:left="720" w:hanging="360"/>
      </w:pPr>
      <w:r>
        <w:rPr>
          <w:rFonts w:ascii="Arial" w:eastAsia="Microsoft YaHei" w:hAnsi="Arial"/>
          <w:sz w:val="22"/>
          <w:szCs w:val="22"/>
        </w:rPr>
        <w:t xml:space="preserve">2. 在SCC Clause 17中指定适用法律和管辖法院（建议选择欧盟成员国法律）</w:t>
      </w:r>
    </w:p>
    <w:p>
      <w:pPr>
        <w:spacing w:after="40" w:before="40"/>
        <w:ind w:left="720" w:hanging="360"/>
      </w:pPr>
      <w:r>
        <w:rPr>
          <w:rFonts w:ascii="Arial" w:eastAsia="Microsoft YaHei" w:hAnsi="Arial"/>
          <w:sz w:val="22"/>
          <w:szCs w:val="22"/>
        </w:rPr>
        <w:t xml:space="preserve">3. 纠正认知：合同保护不能替代SCC，SCC的有效性还取决于TIA结论</w:t>
      </w:r>
    </w:p>
    <w:p>
      <w:pPr>
        <w:spacing w:after="40" w:before="40"/>
        <w:ind w:left="720" w:hanging="360"/>
      </w:pPr>
      <w:r>
        <w:rPr>
          <w:rFonts w:ascii="Arial" w:eastAsia="Microsoft YaHei" w:hAnsi="Arial"/>
          <w:sz w:val="22"/>
          <w:szCs w:val="22"/>
        </w:rPr>
        <w:t xml:space="preserve">4. 考虑申请BCR（约束性企业规则）作为长期集团内部传输工具</w:t>
      </w:r>
    </w:p>
    <w:p>
      <w:pPr>
        <w:spacing w:before="80"/>
      </w:pPr>
    </w:p>
    <w:p>
      <w:pPr>
        <w:spacing w:after="60" w:before="140"/>
      </w:pPr>
      <w:r>
        <w:rPr>
          <w:rFonts w:ascii="Arial" w:eastAsia="Microsoft YaHei" w:hAnsi="Arial"/>
          <w:b/>
          <w:bCs/>
          <w:sz w:val="23"/>
          <w:szCs w:val="23"/>
        </w:rPr>
        <w:t xml:space="preserve">审查发现2：中国PIPL/DSL/CSL政府数据访问权未评估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全文——未评估中国政府数据访问法律</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"无中国政府数据访问法评估"</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目的地国法律风险未评估（关键缺失）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PIPL第40条规定CII运营者和处理个人信息达到规定数量的处理者须在境内存储；DSL第31条规定重要数据出境安全评估要求；CSL第37条规定CII运营者须在境内存储个人信息。此外，《国家安全法》和《国家情报法》第7条要求组织和公民支持配合国家情报工作。这些法律赋予政府广泛的数据调取权，可能实质性地影响SCC的有效性。</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44; Schrems II; EDPB Recommendations 01/2020 Step 3; 中国PIPL Art. 38, 40; DSL Art. 31; CSL Art. 37; 《国家情报法》Art. 7</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在TIA中深度分析PIPL第38条（跨境传输条件）、第40条（数据本地化）、DSL第31条（重要数据出境）和CSL第37条（CII数据本地化）</w:t>
      </w:r>
    </w:p>
    <w:p>
      <w:pPr>
        <w:spacing w:after="40" w:before="40"/>
        <w:ind w:left="720" w:hanging="360"/>
      </w:pPr>
      <w:r>
        <w:rPr>
          <w:rFonts w:ascii="Arial" w:eastAsia="Microsoft YaHei" w:hAnsi="Arial"/>
          <w:sz w:val="22"/>
          <w:szCs w:val="22"/>
        </w:rPr>
        <w:t xml:space="preserve">2. 评估中国子公司是否构成CII或达到PIPL第40条的量级门槛</w:t>
      </w:r>
    </w:p>
    <w:p>
      <w:pPr>
        <w:spacing w:after="40" w:before="40"/>
        <w:ind w:left="720" w:hanging="360"/>
      </w:pPr>
      <w:r>
        <w:rPr>
          <w:rFonts w:ascii="Arial" w:eastAsia="Microsoft YaHei" w:hAnsi="Arial"/>
          <w:sz w:val="22"/>
          <w:szCs w:val="22"/>
        </w:rPr>
        <w:t xml:space="preserve">3. 分析《国家情报法》第7条和《国家安全法》下的政府配合义务对SCC Clause 14的影响</w:t>
      </w:r>
    </w:p>
    <w:p>
      <w:pPr>
        <w:spacing w:after="40" w:before="40"/>
        <w:ind w:left="720" w:hanging="360"/>
      </w:pPr>
      <w:r>
        <w:rPr>
          <w:rFonts w:ascii="Arial" w:eastAsia="Microsoft YaHei" w:hAnsi="Arial"/>
          <w:sz w:val="22"/>
          <w:szCs w:val="22"/>
        </w:rPr>
        <w:t xml:space="preserve">4. 评估PIPL第13条下中国政府的行政执法调取权范围和实际行使情况</w:t>
      </w:r>
    </w:p>
    <w:p>
      <w:pPr>
        <w:spacing w:after="40" w:before="40"/>
        <w:ind w:left="720" w:hanging="360"/>
      </w:pPr>
      <w:r>
        <w:rPr>
          <w:rFonts w:ascii="Arial" w:eastAsia="Microsoft YaHei" w:hAnsi="Arial"/>
          <w:sz w:val="22"/>
          <w:szCs w:val="22"/>
        </w:rPr>
        <w:t xml:space="preserve">5. 参考EDPB关于中国数据传输的最新立场和中国网信办的数据出境安全评估办法</w:t>
      </w:r>
    </w:p>
    <w:p>
      <w:pPr>
        <w:spacing w:before="80"/>
      </w:pPr>
    </w:p>
    <w:p>
      <w:pPr>
        <w:spacing w:after="60" w:before="140"/>
      </w:pPr>
      <w:r>
        <w:rPr>
          <w:rFonts w:ascii="Arial" w:eastAsia="Microsoft YaHei" w:hAnsi="Arial"/>
          <w:b/>
          <w:bCs/>
          <w:sz w:val="23"/>
          <w:szCs w:val="23"/>
        </w:rPr>
        <w:t xml:space="preserve">审查发现3：员工数据涉及特殊类别数据——病假记录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数据类别——"含部分健康信息如病假记录"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"员工人事档案、薪酬数据、绩效评估、考勤记录（含部分健康信息如病假记录）"</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特殊类别数据处理合法性</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病假记录可能揭示员工健康状况，构成GDPR第9条特殊类别数据（健康数据）。第9(1)条原则上禁止处理此类数据。传输至中国须额外满足第9(2)条例外条件，如第9(2)(b)条（履行劳动法义务）。此外，意大利《工人法规》（Statuto dei lavoratori, Law 300/1970）对员工数据处理有严格要求。</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GDPR Art. 9(1)（特殊类别数据禁止）; Art. 9(2)(b)（就业义务）; Art. 9(2)(h)（医疗）; 意大利Law 300/1970（工人法规）; GDPR Art. 88（员工数据处理）</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审查病假记录传输的合法性基础：确认是否满足第9(2)(b)条（履行劳动法和社会保障法义务）</w:t>
      </w:r>
    </w:p>
    <w:p>
      <w:pPr>
        <w:spacing w:after="40" w:before="40"/>
        <w:ind w:left="720" w:hanging="360"/>
      </w:pPr>
      <w:r>
        <w:rPr>
          <w:rFonts w:ascii="Arial" w:eastAsia="Microsoft YaHei" w:hAnsi="Arial"/>
          <w:sz w:val="22"/>
          <w:szCs w:val="22"/>
        </w:rPr>
        <w:t xml:space="preserve">2. 考虑数据最小化：将病假天数与诊断信息分离，仅传输必要的统计性数据</w:t>
      </w:r>
    </w:p>
    <w:p>
      <w:pPr>
        <w:spacing w:after="40" w:before="40"/>
        <w:ind w:left="720" w:hanging="360"/>
      </w:pPr>
      <w:r>
        <w:rPr>
          <w:rFonts w:ascii="Arial" w:eastAsia="Microsoft YaHei" w:hAnsi="Arial"/>
          <w:sz w:val="22"/>
          <w:szCs w:val="22"/>
        </w:rPr>
        <w:t xml:space="preserve">3. 依据GDPR第88条和意大利《工人法规》进行员工数据处理影响评估</w:t>
      </w:r>
    </w:p>
    <w:p>
      <w:pPr>
        <w:spacing w:after="40" w:before="40"/>
        <w:ind w:left="720" w:hanging="360"/>
      </w:pPr>
      <w:r>
        <w:rPr>
          <w:rFonts w:ascii="Arial" w:eastAsia="Microsoft YaHei" w:hAnsi="Arial"/>
          <w:sz w:val="22"/>
          <w:szCs w:val="22"/>
        </w:rPr>
        <w:t xml:space="preserve">4. 对含健康信息的数据实施额外加密和访问控制</w:t>
      </w:r>
    </w:p>
    <w:p>
      <w:pPr>
        <w:spacing w:before="80"/>
      </w:pPr>
    </w:p>
    <w:p>
      <w:pPr>
        <w:spacing w:after="60" w:before="140"/>
      </w:pPr>
      <w:r>
        <w:rPr>
          <w:rFonts w:ascii="Arial" w:eastAsia="Microsoft YaHei" w:hAnsi="Arial"/>
          <w:b/>
          <w:bCs/>
          <w:sz w:val="23"/>
          <w:szCs w:val="23"/>
        </w:rPr>
        <w:t xml:space="preserve">审查发现4：技术补充措施缺失——需强加密保障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条款定位</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全文——仅有保密条款，无技术保障措施</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原文引用</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"保密条款和"合同保护"条款"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问题类型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补充措施缺失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风险分析</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鉴于中国法律下的政府数据访问权广泛且实际行使情况不透明，仅靠SCC可能无法提供与欧盟等同的保护水平。EDPB建议在此类高风险传输中采取强技术补充措施。当前未约定任何补充措施，员工数据在中国子公司处以明文可访问状态。</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法规依据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EDPB Recommendations 01/2020 Step 4（技术补充措施）; GDPR Art. 32（处理安全）; EDPB Recommendations 01/2020 Annex 2（加密措施）</w:t>
            </w:r>
          </w:p>
        </w:tc>
      </w:tr>
    </w:tbl>
    <w:p>
      <w:pPr>
        <w:spacing w:after="60" w:before="60"/>
      </w:pPr>
      <w:r>
        <w:rPr>
          <w:rFonts w:ascii="Arial" w:eastAsia="Microsoft YaHei" w:hAnsi="Arial"/>
          <w:b/>
          <w:bCs/>
          <w:sz w:val="22"/>
          <w:szCs w:val="22"/>
        </w:rPr>
        <w:t xml:space="preserve">修改建议：</w:t>
      </w:r>
    </w:p>
    <w:p>
      <w:pPr>
        <w:spacing w:after="40" w:before="40"/>
        <w:ind w:left="720" w:hanging="360"/>
      </w:pPr>
      <w:r>
        <w:rPr>
          <w:rFonts w:ascii="Arial" w:eastAsia="Microsoft YaHei" w:hAnsi="Arial"/>
          <w:sz w:val="22"/>
          <w:szCs w:val="22"/>
        </w:rPr>
        <w:t xml:space="preserve">1. 对传输至中国的所有员工数据采用AES-256端到端加密，密钥由意大利总部自行管理，中国子公司无法获取明文</w:t>
      </w:r>
    </w:p>
    <w:p>
      <w:pPr>
        <w:spacing w:after="40" w:before="40"/>
        <w:ind w:left="720" w:hanging="360"/>
      </w:pPr>
      <w:r>
        <w:rPr>
          <w:rFonts w:ascii="Arial" w:eastAsia="Microsoft YaHei" w:hAnsi="Arial"/>
          <w:sz w:val="22"/>
          <w:szCs w:val="22"/>
        </w:rPr>
        <w:t xml:space="preserve">2. 实施假名化处理：用员工编号替代姓名等直接标识符，映射表存储于意大利</w:t>
      </w:r>
    </w:p>
    <w:p>
      <w:pPr>
        <w:spacing w:after="40" w:before="40"/>
        <w:ind w:left="720" w:hanging="360"/>
      </w:pPr>
      <w:r>
        <w:rPr>
          <w:rFonts w:ascii="Arial" w:eastAsia="Microsoft YaHei" w:hAnsi="Arial"/>
          <w:sz w:val="22"/>
          <w:szCs w:val="22"/>
        </w:rPr>
        <w:t xml:space="preserve">3. 在中国子公司部署严格的访问控制和审计日志系统，记录所有数据访问行为</w:t>
      </w:r>
    </w:p>
    <w:p>
      <w:pPr>
        <w:spacing w:after="40" w:before="40"/>
        <w:ind w:left="720" w:hanging="360"/>
      </w:pPr>
      <w:r>
        <w:rPr>
          <w:rFonts w:ascii="Arial" w:eastAsia="Microsoft YaHei" w:hAnsi="Arial"/>
          <w:sz w:val="22"/>
          <w:szCs w:val="22"/>
        </w:rPr>
        <w:t xml:space="preserve">4. 在SCC Clause 8-9（数据安全与保密）中明确约定补充措施的技术标准</w:t>
      </w:r>
    </w:p>
    <w:p>
      <w:pPr>
        <w:spacing w:after="40" w:before="40"/>
        <w:ind w:left="720" w:hanging="360"/>
      </w:pPr>
      <w:r>
        <w:rPr>
          <w:rFonts w:ascii="Arial" w:eastAsia="Microsoft YaHei" w:hAnsi="Arial"/>
          <w:sz w:val="22"/>
          <w:szCs w:val="22"/>
        </w:rPr>
        <w:t xml:space="preserve">5. 考虑是否可以通过数据本地化（在意大利存储、中国仅远程访问）避免物理传输</w:t>
      </w:r>
    </w:p>
    <w:p>
      <w:pPr>
        <w:spacing w:before="80"/>
      </w:pP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中国政府数据访问法评估、PIPL/DSL/CSL分析、深度TIA、加密补充措施</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2026-07-30T16:17:26.117Z</dcterms:created>
  <dcterms:modified xsi:type="dcterms:W3CDTF">2026-07-30T16:17:26.117Z</dcterms:modified>
</cp:coreProperties>
</file>

<file path=docProps/custom.xml><?xml version="1.0" encoding="utf-8"?>
<Properties xmlns="http://schemas.openxmlformats.org/officeDocument/2006/custom-properties" xmlns:vt="http://schemas.openxmlformats.org/officeDocument/2006/docPropsVTypes"/>
</file>