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D6502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t xml:space="preserve">待审查的BCR条款原文 </w:t>
      </w:r>
    </w:p>
    <w:p w14:paraId="34704B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[文档标题]</w:t>
      </w:r>
    </w:p>
    <w:p w14:paraId="059FB5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AlphaTech Group Binding Corporate Rules for Data Controllers</w:t>
      </w:r>
      <w:bookmarkStart w:id="0" w:name="_GoBack"/>
      <w:bookmarkEnd w:id="0"/>
    </w:p>
    <w:p w14:paraId="2EB635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（阿尔法科技集团——数据控制者约束性公司规则）</w:t>
      </w:r>
    </w:p>
    <w:p w14:paraId="25ECA6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版本：2.1 | 生效日期：2025年1月15日</w:t>
      </w:r>
    </w:p>
    <w:p w14:paraId="00928C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8718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39DFB0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C352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第1条 适用范围</w:t>
      </w:r>
    </w:p>
    <w:p w14:paraId="155252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本BCR适用于AlphaTech Group（以下简称"集团"）在全球范围内的所有子公司及关联企业。集团总部位于爱尔兰都柏林，在欧洲、亚洲、美洲共设有23个分支机构。本BCR覆盖所有由集团作为数据控制者处理的个人信息，包括员工数据、客户数据、供应商数据及业务合作伙伴数据。</w:t>
      </w:r>
    </w:p>
    <w:p w14:paraId="08D883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2C96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第2条 数据保护原则</w:t>
      </w:r>
    </w:p>
    <w:p w14:paraId="068E6C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合法性、公正性、透明性：集团承诺按照GDPR第5条的原则处理所有个人信息。</w:t>
      </w:r>
    </w:p>
    <w:p w14:paraId="66F919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目的限制：个人信息仅可为特定、明确、合法的目的收集，不得以与该目的不相容的方式进一步处理。</w:t>
      </w:r>
    </w:p>
    <w:p w14:paraId="34602A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数据最小化：集团承诺仅收集为实现处理目的所必需的最少数据。</w:t>
      </w:r>
    </w:p>
    <w:p w14:paraId="409842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 准确性：集团将采取合理措施确保个人数据的准确性并及时更新。</w:t>
      </w:r>
    </w:p>
    <w:p w14:paraId="4E1D73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2.5 存储限制：个人信息保存时间不得超过实现处理目的所必要的时间。</w:t>
      </w:r>
    </w:p>
    <w:p w14:paraId="7768D9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2.6 完整性与保密性：集团将采取适当的技术和组织措施保护个人信息的安全。</w:t>
      </w:r>
    </w:p>
    <w:p w14:paraId="4FA8CC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A9CF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第3条 数据主体权利</w:t>
      </w:r>
    </w:p>
    <w:p w14:paraId="0BB4A6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访问权：数据主体有权向集团提出访问请求，集团应在收到请求后30天内予以回应。</w:t>
      </w:r>
    </w:p>
    <w:p w14:paraId="15AFE1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删除权：数据主体有权要求删除其个人信息，集团应在评估请求的合法性后予以处理。</w:t>
      </w:r>
    </w:p>
    <w:p w14:paraId="246476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 数据可携带权：数据主体有权以结构化、常用、机器可读的格式接收其提供给集团的个人信息。</w:t>
      </w:r>
    </w:p>
    <w:p w14:paraId="400B3D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 限制处理权：在特定情形下，数据主体有权要求限制对其个人信息的处理。</w:t>
      </w:r>
    </w:p>
    <w:p w14:paraId="52C38D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93A3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第4条 向集团外部转移</w:t>
      </w:r>
    </w:p>
    <w:p w14:paraId="2F4E04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集团内部转移：集团成员之间依据本BCR进行的个人信息转移视为已提供充分保护。</w:t>
      </w:r>
    </w:p>
    <w:p w14:paraId="7ED7AE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向第三方转移：集团仅在以下情形下向第三方转移个人信息：（a）已获得数据主体的明确同意；（b）为履行与数据主体之间的合同所必需；（c）法律另有规定。</w:t>
      </w:r>
    </w:p>
    <w:p w14:paraId="58A501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4.3 再转移限制：接收集团个人信息的第三方不得将数据进一步转移给其他方，除非该第三方已加入本BCR或提供同等保护水平。</w:t>
      </w:r>
    </w:p>
    <w:p w14:paraId="2C8A69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45BD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第5条 数据安全</w:t>
      </w:r>
    </w:p>
    <w:p w14:paraId="44C8AA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技术和组织措施：集团各成员应采取适当的安全措施，包括但不限于：加密、访问控制、防火墙、入侵检测系统。</w:t>
      </w:r>
    </w:p>
    <w:p w14:paraId="605E09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安全事件响应：发生个人数据泄露时，相关集团成员应在72小时内通知集团数据保护办公室，并由集团数据保护办公室评估是否需向监管机构报告。</w:t>
      </w:r>
    </w:p>
    <w:p w14:paraId="4B9883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4F3E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第6条 培训与合规</w:t>
      </w:r>
    </w:p>
    <w:p w14:paraId="10863C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员工培训：集团各成员应确保接触个人数据的员工接受数据保护培训。</w:t>
      </w:r>
    </w:p>
    <w:p w14:paraId="3F5FD2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合规审计：集团数据保护办公室有权对各成员进行合规审计，审计频率由集团数据保护办公室自行决定。</w:t>
      </w:r>
    </w:p>
    <w:p w14:paraId="1C00D9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A30B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第7条 法律责任与赔偿</w:t>
      </w:r>
    </w:p>
    <w:p w14:paraId="74460F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7.1 集团责任：集团总部对所有成员的违规行为承担法律责任，但能够证明该成员对违规行为负有责任的除外。</w:t>
      </w:r>
    </w:p>
    <w:p w14:paraId="46BCF8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 赔偿机制：数据主体因集团成员违反本BCR而遭受损害的，有权向集团总部索赔。</w:t>
      </w:r>
    </w:p>
    <w:p w14:paraId="4D4B6C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6DD1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第8条 监管机构合作</w:t>
      </w:r>
    </w:p>
    <w:p w14:paraId="733920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8.1 集团承诺配合主管监管机构的工作，接受监管机构的调查和检查。</w:t>
      </w:r>
    </w:p>
    <w:p w14:paraId="4588DC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8.2 集团应向监管机构提交年度合规报告。</w:t>
      </w:r>
    </w:p>
    <w:p w14:paraId="192FE6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C194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第9条 透明度与公开</w:t>
      </w:r>
    </w:p>
    <w:p w14:paraId="58111A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9.1 本BCR的摘要版本应在集团网站上公开。</w:t>
      </w:r>
    </w:p>
    <w:p w14:paraId="7F5539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9.2 数据主体可通过集团网站的联系方式获取更多信息。</w:t>
      </w:r>
    </w:p>
    <w:p w14:paraId="443F9E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2F2F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第10条 最终条款</w:t>
      </w:r>
    </w:p>
    <w:p w14:paraId="31C875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10.1 本BCR受爱尔兰法律管辖。</w:t>
      </w:r>
    </w:p>
    <w:p w14:paraId="3D1FA7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10.2 如本BCR的任何条款被认定为无效或不可执行，其余条款仍然有效。</w:t>
      </w:r>
    </w:p>
    <w:p w14:paraId="44166F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F332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5180F6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4CE06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0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426</Words>
  <Characters>460</Characters>
  <TotalTime>3</TotalTime>
  <ScaleCrop>false</ScaleCrop>
  <LinksUpToDate>false</LinksUpToDate>
  <CharactersWithSpaces>470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2026-07-30T16:17:00Z</dcterms:created>
  <dc:creator>Un-named</dc:creator>
  <cp:lastModifiedBy>wsc</cp:lastModifiedBy>
  <dcterms:modified xsi:type="dcterms:W3CDTF">2026-08-03T11:20:15Z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eyJoZGlkIjoiOTY4YTkwNTY5OTI0N2RmNzMxMjdhZTgzZTQ0ZjY3MTUiLCJ1c2VySWQiOiI2NzM3NjQxNDMifQ==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1451A35A1A2D472A9B01918CC7CEEEBF_12</vt:lpwstr>
  </property>
</Properties>
</file>