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C19F9">
      <w:pPr>
        <w:pStyle w:val="5"/>
        <w:keepNext w:val="0"/>
        <w:keepLines w:val="0"/>
        <w:widowControl/>
        <w:suppressLineNumbers w:val="0"/>
        <w:rPr>
          <w:rFonts w:hint="eastAsia" w:ascii="宋体" w:hAnsi="宋体" w:eastAsia="微软雅黑" w:cs="宋体"/>
          <w:kern w:val="0"/>
          <w:sz w:val="24"/>
          <w:szCs w:val="24"/>
          <w:lang w:val="en-US" w:eastAsia="zh-CN" w:bidi="ar"/>
        </w:rPr>
      </w:pPr>
      <w:bookmarkStart w:id="0" w:name="_GoBack"/>
      <w:r>
        <w:t xml:space="preserve">待审查的BCR条款原文 </w:t>
      </w:r>
      <w:r>
        <w:rPr>
          <w:rFonts w:hint="eastAsia"/>
          <w:lang w:eastAsia="zh-CN"/>
        </w:rPr>
        <w:t>：</w:t>
      </w:r>
    </w:p>
    <w:p w14:paraId="6460EDFD">
      <w:pPr>
        <w:keepNext w:val="0"/>
        <w:keepLines w:val="0"/>
        <w:widowControl/>
        <w:suppressLineNumbers w:val="0"/>
        <w:jc w:val="left"/>
        <w:rPr>
          <w:rFonts w:ascii="宋体" w:hAnsi="宋体" w:eastAsia="宋体" w:cs="宋体"/>
          <w:kern w:val="0"/>
          <w:sz w:val="24"/>
          <w:szCs w:val="24"/>
          <w:lang w:val="en-US" w:eastAsia="zh-CN" w:bidi="ar"/>
        </w:rPr>
      </w:pPr>
    </w:p>
    <w:p w14:paraId="3017D68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[文档标题]</w:t>
      </w:r>
    </w:p>
    <w:p w14:paraId="56C0A42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BetaCloud Services Group Binding Corporate Rules for Data Processors</w:t>
      </w:r>
    </w:p>
    <w:p w14:paraId="2446C85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（贝塔云服务集团——数据处理者约束性公司规则）</w:t>
      </w:r>
    </w:p>
    <w:p w14:paraId="2A1AB3C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版本：1.0 | 生效日期：2025年3月1日</w:t>
      </w:r>
    </w:p>
    <w:p w14:paraId="2D539CD5">
      <w:pPr>
        <w:keepNext w:val="0"/>
        <w:keepLines w:val="0"/>
        <w:widowControl/>
        <w:suppressLineNumbers w:val="0"/>
        <w:jc w:val="left"/>
        <w:rPr>
          <w:rFonts w:ascii="宋体" w:hAnsi="宋体" w:eastAsia="宋体" w:cs="宋体"/>
          <w:kern w:val="0"/>
          <w:sz w:val="24"/>
          <w:szCs w:val="24"/>
          <w:lang w:val="en-US" w:eastAsia="zh-CN" w:bidi="ar"/>
        </w:rPr>
      </w:pPr>
    </w:p>
    <w:p w14:paraId="2D1F2E2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w:t>
      </w:r>
    </w:p>
    <w:p w14:paraId="630F5B2A">
      <w:pPr>
        <w:keepNext w:val="0"/>
        <w:keepLines w:val="0"/>
        <w:widowControl/>
        <w:suppressLineNumbers w:val="0"/>
        <w:jc w:val="left"/>
        <w:rPr>
          <w:rFonts w:ascii="宋体" w:hAnsi="宋体" w:eastAsia="宋体" w:cs="宋体"/>
          <w:kern w:val="0"/>
          <w:sz w:val="24"/>
          <w:szCs w:val="24"/>
          <w:lang w:val="en-US" w:eastAsia="zh-CN" w:bidi="ar"/>
        </w:rPr>
      </w:pPr>
    </w:p>
    <w:p w14:paraId="4E9FB95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第1条 引言与适用范围</w:t>
      </w:r>
    </w:p>
    <w:p w14:paraId="348E84B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 BetaCloud Services Group（以下简称"集团"）是全球领先的云计算服务提供商，总部位于荷兰阿姆斯特丹，在欧洲、北美、亚太共设有12个数据中心。</w:t>
      </w:r>
    </w:p>
    <w:p w14:paraId="3EB61C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 本BCR适用于集团所有子公司作为数据处理者时处理个人信息的活动。</w:t>
      </w:r>
    </w:p>
    <w:p w14:paraId="4B0D972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1.3 本BCR自生效之日起对所有集团成员具有约束力。</w:t>
      </w:r>
    </w:p>
    <w:p w14:paraId="2ECF0BE3">
      <w:pPr>
        <w:keepNext w:val="0"/>
        <w:keepLines w:val="0"/>
        <w:widowControl/>
        <w:suppressLineNumbers w:val="0"/>
        <w:jc w:val="left"/>
        <w:rPr>
          <w:rFonts w:ascii="宋体" w:hAnsi="宋体" w:eastAsia="宋体" w:cs="宋体"/>
          <w:kern w:val="0"/>
          <w:sz w:val="24"/>
          <w:szCs w:val="24"/>
          <w:lang w:val="en-US" w:eastAsia="zh-CN" w:bidi="ar"/>
        </w:rPr>
      </w:pPr>
    </w:p>
    <w:p w14:paraId="1033960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第2条 定义</w:t>
      </w:r>
    </w:p>
    <w:p w14:paraId="04CC279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2.1 "控制者"：指决定个人信息处理目的和方式的自然人或法人。</w:t>
      </w:r>
    </w:p>
    <w:p w14:paraId="1D1A862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2.2 "处理者"：指代表控制者处理个人信息的自然人或法人。</w:t>
      </w:r>
    </w:p>
    <w:p w14:paraId="6A76E7B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2.3 "数据主体"：指可识别的自然人。</w:t>
      </w:r>
    </w:p>
    <w:p w14:paraId="04FF416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2.4 "个人数据泄露"：指导致个人数据的意外或非法破坏、丢失、更改、未经授权的披露或访问的安全事件。</w:t>
      </w:r>
    </w:p>
    <w:p w14:paraId="75C97108">
      <w:pPr>
        <w:keepNext w:val="0"/>
        <w:keepLines w:val="0"/>
        <w:widowControl/>
        <w:suppressLineNumbers w:val="0"/>
        <w:jc w:val="left"/>
        <w:rPr>
          <w:rFonts w:ascii="宋体" w:hAnsi="宋体" w:eastAsia="宋体" w:cs="宋体"/>
          <w:kern w:val="0"/>
          <w:sz w:val="24"/>
          <w:szCs w:val="24"/>
          <w:lang w:val="en-US" w:eastAsia="zh-CN" w:bidi="ar"/>
        </w:rPr>
      </w:pPr>
    </w:p>
    <w:p w14:paraId="7DEC0B0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第3条 处理指令与目的限制</w:t>
      </w:r>
    </w:p>
    <w:p w14:paraId="654BF3B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3.1 集团成员仅可根据控制者的书面指示处理个人信息，不得为自己的目的处理数据。</w:t>
      </w:r>
    </w:p>
    <w:p w14:paraId="27B0848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3.2 如集团成员认为控制者的指示违反适用法律，应立即通知控制者。</w:t>
      </w:r>
    </w:p>
    <w:p w14:paraId="423F9CB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3.3 集团成员不得将个人信息用于与控制者约定的处理目的无关的任何用途。</w:t>
      </w:r>
    </w:p>
    <w:p w14:paraId="727711CF">
      <w:pPr>
        <w:keepNext w:val="0"/>
        <w:keepLines w:val="0"/>
        <w:widowControl/>
        <w:suppressLineNumbers w:val="0"/>
        <w:jc w:val="left"/>
        <w:rPr>
          <w:rFonts w:ascii="宋体" w:hAnsi="宋体" w:eastAsia="宋体" w:cs="宋体"/>
          <w:kern w:val="0"/>
          <w:sz w:val="24"/>
          <w:szCs w:val="24"/>
          <w:lang w:val="en-US" w:eastAsia="zh-CN" w:bidi="ar"/>
        </w:rPr>
      </w:pPr>
    </w:p>
    <w:p w14:paraId="28E5505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第4条 数据安全</w:t>
      </w:r>
    </w:p>
    <w:p w14:paraId="79A5C24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4.1 集团成员应采取适当的技术和组织措施，确保与处理风险相适应的安全水平。</w:t>
      </w:r>
    </w:p>
    <w:p w14:paraId="244537B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4.2 安全措施包括但不限于：静态加密、传输加密、多因素认证、定期安全评估、漏洞扫描。</w:t>
      </w:r>
    </w:p>
    <w:p w14:paraId="6FDE533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4.3 集团成员应确保有权访问个人数据的员工受保密义务约束。</w:t>
      </w:r>
    </w:p>
    <w:p w14:paraId="48C058C3">
      <w:pPr>
        <w:keepNext w:val="0"/>
        <w:keepLines w:val="0"/>
        <w:widowControl/>
        <w:suppressLineNumbers w:val="0"/>
        <w:jc w:val="left"/>
        <w:rPr>
          <w:rFonts w:ascii="宋体" w:hAnsi="宋体" w:eastAsia="宋体" w:cs="宋体"/>
          <w:kern w:val="0"/>
          <w:sz w:val="24"/>
          <w:szCs w:val="24"/>
          <w:lang w:val="en-US" w:eastAsia="zh-CN" w:bidi="ar"/>
        </w:rPr>
      </w:pPr>
    </w:p>
    <w:p w14:paraId="47FAC9D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第5条 子处理者</w:t>
      </w:r>
    </w:p>
    <w:p w14:paraId="260E3D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5.1 集团成员可在未经控制者事先书面同意的情况下委任子处理者，但需事后通知控制者。</w:t>
      </w:r>
    </w:p>
    <w:p w14:paraId="44AD5D1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5.2 子处理者必须同意承担与本BCR同等的数据保护义务。</w:t>
      </w:r>
    </w:p>
    <w:p w14:paraId="272FE9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5.3 集团成员对子处理者的行为向控制者承担全部责任。</w:t>
      </w:r>
    </w:p>
    <w:p w14:paraId="15FF2E85">
      <w:pPr>
        <w:keepNext w:val="0"/>
        <w:keepLines w:val="0"/>
        <w:widowControl/>
        <w:suppressLineNumbers w:val="0"/>
        <w:jc w:val="left"/>
        <w:rPr>
          <w:rFonts w:ascii="宋体" w:hAnsi="宋体" w:eastAsia="宋体" w:cs="宋体"/>
          <w:kern w:val="0"/>
          <w:sz w:val="24"/>
          <w:szCs w:val="24"/>
          <w:lang w:val="en-US" w:eastAsia="zh-CN" w:bidi="ar"/>
        </w:rPr>
      </w:pPr>
    </w:p>
    <w:p w14:paraId="276E4DA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第6条 数据主体权利协助</w:t>
      </w:r>
    </w:p>
    <w:p w14:paraId="6EBD0D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6.1 集团成员应在合理的时间内协助控制者回应数据主体行使权利的请求。</w:t>
      </w:r>
    </w:p>
    <w:p w14:paraId="7DCC476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6.2 如集团成员收到数据主体的直接请求，应将请求转交给控制者处理。</w:t>
      </w:r>
    </w:p>
    <w:p w14:paraId="2F714E45">
      <w:pPr>
        <w:keepNext w:val="0"/>
        <w:keepLines w:val="0"/>
        <w:widowControl/>
        <w:suppressLineNumbers w:val="0"/>
        <w:jc w:val="left"/>
        <w:rPr>
          <w:rFonts w:ascii="宋体" w:hAnsi="宋体" w:eastAsia="宋体" w:cs="宋体"/>
          <w:kern w:val="0"/>
          <w:sz w:val="24"/>
          <w:szCs w:val="24"/>
          <w:lang w:val="en-US" w:eastAsia="zh-CN" w:bidi="ar"/>
        </w:rPr>
      </w:pPr>
    </w:p>
    <w:p w14:paraId="27B0F2C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第7条 数据泄露通知</w:t>
      </w:r>
    </w:p>
    <w:p w14:paraId="7EE39F7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7.1 发生个人数据泄露时，集团成员应在知悉后48小时内通知控制者。</w:t>
      </w:r>
    </w:p>
    <w:p w14:paraId="7C4DB57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7.2 通知应包含泄露的性质、可能的影响以及已采取或拟采取的补救措施。</w:t>
      </w:r>
    </w:p>
    <w:p w14:paraId="075FBBA3">
      <w:pPr>
        <w:keepNext w:val="0"/>
        <w:keepLines w:val="0"/>
        <w:widowControl/>
        <w:suppressLineNumbers w:val="0"/>
        <w:jc w:val="left"/>
        <w:rPr>
          <w:rFonts w:ascii="宋体" w:hAnsi="宋体" w:eastAsia="宋体" w:cs="宋体"/>
          <w:kern w:val="0"/>
          <w:sz w:val="24"/>
          <w:szCs w:val="24"/>
          <w:lang w:val="en-US" w:eastAsia="zh-CN" w:bidi="ar"/>
        </w:rPr>
      </w:pPr>
    </w:p>
    <w:p w14:paraId="78E93BB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第8条 数据删除与返还</w:t>
      </w:r>
    </w:p>
    <w:p w14:paraId="6632DB6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8.1 服务终止后，集团成员应根据控制者的指示删除或返还所有个人信息。</w:t>
      </w:r>
    </w:p>
    <w:p w14:paraId="5019D78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8.2 集团成员可保留个人信息的备份副本，但仅限于满足法律保留要求。</w:t>
      </w:r>
    </w:p>
    <w:p w14:paraId="380D9485">
      <w:pPr>
        <w:keepNext w:val="0"/>
        <w:keepLines w:val="0"/>
        <w:widowControl/>
        <w:suppressLineNumbers w:val="0"/>
        <w:jc w:val="left"/>
        <w:rPr>
          <w:rFonts w:ascii="宋体" w:hAnsi="宋体" w:eastAsia="宋体" w:cs="宋体"/>
          <w:kern w:val="0"/>
          <w:sz w:val="24"/>
          <w:szCs w:val="24"/>
          <w:lang w:val="en-US" w:eastAsia="zh-CN" w:bidi="ar"/>
        </w:rPr>
      </w:pPr>
    </w:p>
    <w:p w14:paraId="351987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第9条 审计权</w:t>
      </w:r>
    </w:p>
    <w:p w14:paraId="06146CE9">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9.1 控制者有权对集团成员进行审计，以核实其是否符合本BCR的要求。</w:t>
      </w:r>
    </w:p>
    <w:p w14:paraId="3FE2BA57">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9.2 审计费用由控制者承担。</w:t>
      </w:r>
    </w:p>
    <w:p w14:paraId="2599721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9.3 集团成员有权要求控制者签署保密协议后再进行审计。</w:t>
      </w:r>
    </w:p>
    <w:p w14:paraId="039F5AD9">
      <w:pPr>
        <w:keepNext w:val="0"/>
        <w:keepLines w:val="0"/>
        <w:widowControl/>
        <w:suppressLineNumbers w:val="0"/>
        <w:jc w:val="left"/>
        <w:rPr>
          <w:rFonts w:ascii="宋体" w:hAnsi="宋体" w:eastAsia="宋体" w:cs="宋体"/>
          <w:kern w:val="0"/>
          <w:sz w:val="24"/>
          <w:szCs w:val="24"/>
          <w:lang w:val="en-US" w:eastAsia="zh-CN" w:bidi="ar"/>
        </w:rPr>
      </w:pPr>
    </w:p>
    <w:p w14:paraId="7EC88A85">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第10条 法律责任</w:t>
      </w:r>
    </w:p>
    <w:p w14:paraId="74A5012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10.1 集团对集团成员违反本BCR的行为向控制者承担连带责任。</w:t>
      </w:r>
    </w:p>
    <w:p w14:paraId="18099D4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10.2 如集团成员能够证明其对违规行为不负有责任，则可免除责任。</w:t>
      </w:r>
    </w:p>
    <w:p w14:paraId="27D720F2">
      <w:pPr>
        <w:keepNext w:val="0"/>
        <w:keepLines w:val="0"/>
        <w:widowControl/>
        <w:suppressLineNumbers w:val="0"/>
        <w:jc w:val="left"/>
        <w:rPr>
          <w:rFonts w:ascii="宋体" w:hAnsi="宋体" w:eastAsia="宋体" w:cs="宋体"/>
          <w:kern w:val="0"/>
          <w:sz w:val="24"/>
          <w:szCs w:val="24"/>
          <w:lang w:val="en-US" w:eastAsia="zh-CN" w:bidi="ar"/>
        </w:rPr>
      </w:pPr>
    </w:p>
    <w:p w14:paraId="202E76B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第11条 管辖法律与争议解决</w:t>
      </w:r>
    </w:p>
    <w:p w14:paraId="2D68BA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11.1 本BCR受荷兰法律管辖。</w:t>
      </w:r>
    </w:p>
    <w:p w14:paraId="6BE2F0AE">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11.2 因本BCR引起的争议应由荷兰阿姆斯特丹法院专属管辖。</w:t>
      </w:r>
    </w:p>
    <w:p w14:paraId="1C98995A">
      <w:pPr>
        <w:keepNext w:val="0"/>
        <w:keepLines w:val="0"/>
        <w:widowControl/>
        <w:suppressLineNumbers w:val="0"/>
        <w:jc w:val="left"/>
        <w:rPr>
          <w:rFonts w:ascii="宋体" w:hAnsi="宋体" w:eastAsia="宋体" w:cs="宋体"/>
          <w:kern w:val="0"/>
          <w:sz w:val="24"/>
          <w:szCs w:val="24"/>
          <w:lang w:val="en-US" w:eastAsia="zh-CN" w:bidi="ar"/>
        </w:rPr>
      </w:pPr>
    </w:p>
    <w:p w14:paraId="42B77480">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第12条 生效与更新</w:t>
      </w:r>
    </w:p>
    <w:p w14:paraId="57C77BE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12.1 本BCR自集团数据保护官签署之日起生效。</w:t>
      </w:r>
    </w:p>
    <w:p w14:paraId="651700FE">
      <w:pPr>
        <w:keepNext w:val="0"/>
        <w:keepLines w:val="0"/>
        <w:widowControl/>
        <w:suppressLineNumbers w:val="0"/>
        <w:jc w:val="left"/>
      </w:pPr>
      <w:r>
        <w:rPr>
          <w:rFonts w:ascii="宋体" w:hAnsi="宋体" w:eastAsia="宋体" w:cs="宋体"/>
          <w:kern w:val="0"/>
          <w:sz w:val="24"/>
          <w:szCs w:val="24"/>
          <w:lang w:val="en-US" w:eastAsia="zh-CN" w:bidi="ar"/>
        </w:rPr>
        <w:t>12.2 集团保留随时修改本BCR的权利，修改后的版本将在集团内部网站上公布。</w:t>
      </w:r>
    </w:p>
    <w:p w14:paraId="376F265C"/>
    <w:bookmarkEnd w:id="0"/>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01369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2"/>
      <w:szCs w:val="22"/>
    </w:rPr>
  </w:style>
  <w:style w:type="paragraph" w:styleId="2">
    <w:name w:val="heading 1"/>
    <w:next w:val="1"/>
    <w:qFormat/>
    <w:uiPriority w:val="0"/>
    <w:pPr>
      <w:keepNext w:val="0"/>
      <w:keepLines w:val="0"/>
      <w:spacing w:before="240" w:after="200"/>
      <w:outlineLvl w:val="0"/>
    </w:pPr>
    <w:rPr>
      <w:rFonts w:ascii="Arial" w:hAnsi="Arial" w:eastAsia="微软雅黑"/>
      <w:b/>
      <w:bCs/>
      <w:sz w:val="32"/>
      <w:szCs w:val="32"/>
    </w:rPr>
  </w:style>
  <w:style w:type="paragraph" w:styleId="3">
    <w:name w:val="heading 2"/>
    <w:next w:val="1"/>
    <w:qFormat/>
    <w:uiPriority w:val="0"/>
    <w:pPr>
      <w:keepNext w:val="0"/>
      <w:keepLines w:val="0"/>
      <w:spacing w:before="200" w:after="100"/>
      <w:outlineLvl w:val="1"/>
    </w:pPr>
    <w:rPr>
      <w:rFonts w:ascii="Arial" w:hAnsi="Arial" w:eastAsia="微软雅黑"/>
      <w:b/>
      <w:bCs/>
      <w:sz w:val="26"/>
      <w:szCs w:val="26"/>
    </w:rPr>
  </w:style>
  <w:style w:type="paragraph" w:styleId="4">
    <w:name w:val="heading 3"/>
    <w:next w:val="1"/>
    <w:qFormat/>
    <w:uiPriority w:val="0"/>
    <w:rPr>
      <w:rFonts w:ascii="Arial" w:hAnsi="Arial" w:eastAsia="微软雅黑"/>
      <w:color w:val="1F4D78"/>
      <w:sz w:val="24"/>
      <w:szCs w:val="24"/>
    </w:rPr>
  </w:style>
  <w:style w:type="paragraph" w:styleId="5">
    <w:name w:val="heading 4"/>
    <w:next w:val="1"/>
    <w:qFormat/>
    <w:uiPriority w:val="0"/>
    <w:rPr>
      <w:rFonts w:ascii="Arial" w:hAnsi="Arial" w:eastAsia="微软雅黑"/>
      <w:i/>
      <w:iCs/>
      <w:color w:val="2E74B5"/>
      <w:sz w:val="22"/>
      <w:szCs w:val="22"/>
    </w:rPr>
  </w:style>
  <w:style w:type="paragraph" w:styleId="6">
    <w:name w:val="heading 5"/>
    <w:next w:val="1"/>
    <w:qFormat/>
    <w:uiPriority w:val="0"/>
    <w:rPr>
      <w:rFonts w:ascii="Arial" w:hAnsi="Arial" w:eastAsia="微软雅黑"/>
      <w:color w:val="2E74B5"/>
      <w:sz w:val="22"/>
      <w:szCs w:val="22"/>
    </w:rPr>
  </w:style>
  <w:style w:type="paragraph" w:styleId="7">
    <w:name w:val="heading 6"/>
    <w:next w:val="1"/>
    <w:qFormat/>
    <w:uiPriority w:val="0"/>
    <w:rPr>
      <w:rFonts w:ascii="Arial" w:hAnsi="Arial" w:eastAsia="微软雅黑"/>
      <w:color w:val="1F4D78"/>
      <w:sz w:val="22"/>
      <w:szCs w:val="22"/>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Arial" w:hAnsi="Arial" w:eastAsia="微软雅黑"/>
      <w:sz w:val="20"/>
      <w:szCs w:val="20"/>
    </w:rPr>
  </w:style>
  <w:style w:type="paragraph" w:styleId="9">
    <w:name w:val="footnote text"/>
    <w:link w:val="18"/>
    <w:semiHidden/>
    <w:unhideWhenUsed/>
    <w:qFormat/>
    <w:uiPriority w:val="99"/>
    <w:pPr>
      <w:spacing w:after="0" w:line="240" w:lineRule="auto"/>
    </w:pPr>
    <w:rPr>
      <w:rFonts w:ascii="Arial" w:hAnsi="Arial" w:eastAsia="微软雅黑"/>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Arial" w:hAnsi="Arial" w:eastAsia="微软雅黑"/>
      <w:sz w:val="56"/>
      <w:szCs w:val="56"/>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Arial" w:hAnsi="Arial" w:eastAsia="微软雅黑"/>
      <w:sz w:val="22"/>
      <w:szCs w:val="22"/>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2203</Words>
  <Characters>2503</Characters>
  <TotalTime>13</TotalTime>
  <ScaleCrop>false</ScaleCrop>
  <LinksUpToDate>false</LinksUpToDate>
  <CharactersWithSpaces>2548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2026-07-30T16:17:00Z</dcterms:created>
  <dc:creator>Un-named</dc:creator>
  <cp:lastModifiedBy>wsc</cp:lastModifiedBy>
  <dcterms:modified xsi:type="dcterms:W3CDTF">2026-08-03T12:13:20Z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eyJoZGlkIjoiOTY4YTkwNTY5OTI0N2RmNzMxMjdhZTgzZTQ0ZjY3MTUiLCJ1c2VySWQiOiI2NzM3NjQxNDMifQ==</vt:lpwstr>
  </property>
  <property fmtid="{D5CDD505-2E9C-101B-9397-08002B2CF9AE}" pid="3" name="KSOProductBuildVer">
    <vt:lpwstr>2052-12.1.0.26895</vt:lpwstr>
  </property>
  <property fmtid="{D5CDD505-2E9C-101B-9397-08002B2CF9AE}" pid="4" name="ICV">
    <vt:lpwstr>4D24B4F11F964BEFA12A0775A4DF6A18_12</vt:lpwstr>
  </property>
</Properties>
</file>