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100"/>
      </w:pPr>
      <w:r>
        <w:rPr>
          <w:rFonts w:ascii="Arial" w:eastAsia="Microsoft YaHei" w:hAnsi="Arial"/>
          <w:b/>
          <w:bCs/>
          <w:sz w:val="32"/>
          <w:szCs w:val="32"/>
        </w:rPr>
        <w:t xml:space="preserve">任务6 案例5：比利时制药公司向印度传输数据</w:t>
      </w:r>
    </w:p>
    <w:p>
      <w:pPr>
        <w:pStyle w:val="Heading2"/>
        <w:spacing w:after="100" w:before="200"/>
      </w:pPr>
      <w:r>
        <w:rPr>
          <w:rFonts w:ascii="Arial" w:eastAsia="Microsoft YaHei" w:hAnsi="Arial"/>
          <w:b/>
          <w:bCs/>
          <w:sz w:val="26"/>
          <w:szCs w:val="26"/>
        </w:rPr>
        <w:t xml:space="preserve">一、用户输入</w:t>
      </w:r>
    </w:p>
    <w:p>
      <w:pPr>
        <w:spacing w:after="60" w:before="60"/>
      </w:pPr>
      <w:r>
        <w:rPr>
          <w:rFonts w:ascii="Arial" w:eastAsia="Microsoft YaHei" w:hAnsi="Arial"/>
          <w:sz w:val="22"/>
          <w:szCs w:val="22"/>
        </w:rPr>
        <w:t xml:space="preserve">【数规通系统填写 — TIA审查表单（六项信息）】</w:t>
      </w:r>
    </w:p>
    <w:p>
      <w:pPr>
        <w:spacing w:after="60" w:before="140"/>
      </w:pPr>
      <w:r>
        <w:rPr>
          <w:rFonts w:ascii="Arial" w:eastAsia="Microsoft YaHei" w:hAnsi="Arial"/>
          <w:b/>
          <w:bCs/>
          <w:sz w:val="23"/>
          <w:szCs w:val="23"/>
        </w:rPr>
        <w:t xml:space="preserve">1. 了解您的传输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数据出口方名称</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比利时某制药公司（数据控制者）</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数据进口方名称</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印度某临床试验数据管理公司（数据处理者）</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进口方所在国家</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印度</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传输目的</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临床试验数据分析和管理</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数据类别</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临床试验受试者数据（含健康数据、生物标记物数据）</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是否涉及特殊类别</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是——健康数据（GDPR第9条）</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数据主体类别</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临床试验受试者</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传输频率</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定期批量传输（每阶段试验结束后）</w:t>
            </w:r>
          </w:p>
        </w:tc>
      </w:tr>
    </w:tbl>
    <w:p>
      <w:pPr>
        <w:spacing w:after="60" w:before="140"/>
      </w:pPr>
      <w:r>
        <w:rPr>
          <w:rFonts w:ascii="Arial" w:eastAsia="Microsoft YaHei" w:hAnsi="Arial"/>
          <w:b/>
          <w:bCs/>
          <w:sz w:val="23"/>
          <w:szCs w:val="23"/>
        </w:rPr>
        <w:t xml:space="preserve">2. 识别所用传输工具</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传输工具</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SCC Module 2（已签署）</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签署状态</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已签署</w:t>
            </w:r>
          </w:p>
        </w:tc>
      </w:tr>
    </w:tbl>
    <w:p>
      <w:pPr>
        <w:spacing w:after="60" w:before="140"/>
      </w:pPr>
      <w:r>
        <w:rPr>
          <w:rFonts w:ascii="Arial" w:eastAsia="Microsoft YaHei" w:hAnsi="Arial"/>
          <w:b/>
          <w:bCs/>
          <w:sz w:val="23"/>
          <w:szCs w:val="23"/>
        </w:rPr>
        <w:t xml:space="preserve">3. 评估目的地法律与实践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是否评估政府数据访问</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【缺失——未评估印度DPDPA 2023和IT Act第69条】</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评估发现摘要</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上传方认为"发展中国家数据风险更低"</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初步结论</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未形成结论</w:t>
            </w:r>
          </w:p>
        </w:tc>
      </w:tr>
    </w:tbl>
    <w:p>
      <w:pPr>
        <w:spacing w:after="60" w:before="60"/>
      </w:pPr>
      <w:r>
        <w:rPr>
          <w:rFonts w:ascii="Arial" w:eastAsia="Microsoft YaHei" w:hAnsi="Arial"/>
          <w:sz w:val="22"/>
          <w:szCs w:val="22"/>
        </w:rPr>
        <w:t xml:space="preserve">上传方陈述：印度有很多制药外包公司，经验丰富，成本也低。发展中国家数据风险更低吧，不像美国那样有大规模监控。而且我们签了SCC，应该没问题。</w:t>
      </w:r>
    </w:p>
    <w:p>
      <w:pPr>
        <w:spacing w:after="60" w:before="140"/>
      </w:pPr>
      <w:r>
        <w:rPr>
          <w:rFonts w:ascii="Arial" w:eastAsia="Microsoft YaHei" w:hAnsi="Arial"/>
          <w:b/>
          <w:bCs/>
          <w:sz w:val="23"/>
          <w:szCs w:val="23"/>
        </w:rPr>
        <w:t xml:space="preserve">4. 识别补充措施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技术性措施</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未识别</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合同性与组织性措施</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未识别</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采用后是否有效</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未评估</w:t>
            </w:r>
          </w:p>
        </w:tc>
      </w:tr>
    </w:tbl>
    <w:p>
      <w:pPr>
        <w:spacing w:after="60" w:before="140"/>
      </w:pPr>
      <w:r>
        <w:rPr>
          <w:rFonts w:ascii="Arial" w:eastAsia="Microsoft YaHei" w:hAnsi="Arial"/>
          <w:b/>
          <w:bCs/>
          <w:sz w:val="23"/>
          <w:szCs w:val="23"/>
        </w:rPr>
        <w:t xml:space="preserve">5. 实施步骤与意见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关键行动</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尚未制定</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DPO意见</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尚未征求</w:t>
            </w:r>
          </w:p>
        </w:tc>
      </w:tr>
    </w:tbl>
    <w:p>
      <w:pPr>
        <w:spacing w:after="60" w:before="140"/>
      </w:pPr>
      <w:r>
        <w:rPr>
          <w:rFonts w:ascii="Arial" w:eastAsia="Microsoft YaHei" w:hAnsi="Arial"/>
          <w:b/>
          <w:bCs/>
          <w:sz w:val="23"/>
          <w:szCs w:val="23"/>
        </w:rPr>
        <w:t xml:space="preserve">6. 定期复审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下次复审日期</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未设定</w:t>
            </w:r>
          </w:p>
        </w:tc>
      </w:tr>
    </w:tbl>
    <w:p>
      <w:pPr>
        <w:pStyle w:val="Heading2"/>
        <w:spacing w:after="100" w:before="200"/>
      </w:pPr>
      <w:r>
        <w:rPr>
          <w:rFonts w:ascii="Arial" w:eastAsia="Microsoft YaHei" w:hAnsi="Arial"/>
          <w:b/>
          <w:bCs/>
          <w:sz w:val="26"/>
          <w:szCs w:val="26"/>
        </w:rPr>
        <w:t xml:space="preserve">二、标准答案（即系统输出）</w:t>
      </w:r>
    </w:p>
    <w:p>
      <w:pPr>
        <w:spacing w:after="60" w:before="140"/>
      </w:pPr>
      <w:r>
        <w:rPr>
          <w:rFonts w:ascii="Arial" w:eastAsia="Microsoft YaHei" w:hAnsi="Arial"/>
          <w:b/>
          <w:bCs/>
          <w:sz w:val="23"/>
          <w:szCs w:val="23"/>
        </w:rPr>
        <w:t xml:space="preserve">《传输影响评估（TIA）草案》</w:t>
      </w:r>
    </w:p>
    <w:p>
      <w:pPr>
        <w:spacing w:after="60" w:before="60"/>
      </w:pPr>
      <w:r>
        <w:rPr>
          <w:rFonts w:ascii="Arial" w:eastAsia="Microsoft YaHei" w:hAnsi="Arial"/>
          <w:sz w:val="22"/>
          <w:szCs w:val="22"/>
        </w:rPr>
        <w:t xml:space="preserve">本TIA草案遵循EDPB Recommendations 01/2020六步法。核心发现：上传方"发展中国家数据风险更低"的认知存在双重错误：1) 数据风险取决于法律保护水平而非经济发展水平；2) 印度IT Act第69条赋予政府数据调取权，DPDPA 2023执法机制尚不成熟。此外，临床试验数据涉及GDPR第9条特殊类别数据（健康数据），须同时满足特殊类别处理合法性和跨境传输条件。</w:t>
      </w:r>
    </w:p>
    <w:p>
      <w:pPr>
        <w:spacing w:before="80"/>
      </w:pPr>
    </w:p>
    <w:p>
      <w:pPr>
        <w:spacing w:after="60" w:before="140"/>
      </w:pPr>
      <w:r>
        <w:rPr>
          <w:rFonts w:ascii="Arial" w:eastAsia="Microsoft YaHei" w:hAnsi="Arial"/>
          <w:b/>
          <w:bCs/>
          <w:sz w:val="23"/>
          <w:szCs w:val="23"/>
        </w:rPr>
        <w:t xml:space="preserve">第一步：了解您的传输</w:t>
      </w:r>
    </w:p>
    <w:p>
      <w:pPr>
        <w:spacing w:after="60" w:before="60"/>
      </w:pPr>
      <w:r>
        <w:rPr>
          <w:rFonts w:ascii="Arial" w:eastAsia="Microsoft YaHei" w:hAnsi="Arial"/>
          <w:sz w:val="22"/>
          <w:szCs w:val="22"/>
        </w:rPr>
        <w:t xml:space="preserve">传输关系：比利时制药公司（控制者）→印度临床数据管理公司（处理者），使用SCC Module 2。</w:t>
      </w:r>
    </w:p>
    <w:p>
      <w:pPr>
        <w:spacing w:after="60" w:before="60"/>
      </w:pPr>
      <w:r>
        <w:rPr>
          <w:rFonts w:ascii="Arial" w:eastAsia="Microsoft YaHei" w:hAnsi="Arial"/>
          <w:sz w:val="22"/>
          <w:szCs w:val="22"/>
        </w:rPr>
        <w:t xml:space="preserve">传输数据为临床试验受试者数据，包含健康数据和生物标记物数据，属于GDPR第9条特殊类别数据。</w:t>
      </w:r>
    </w:p>
    <w:p>
      <w:pPr>
        <w:spacing w:after="60" w:before="60"/>
      </w:pPr>
      <w:r>
        <w:rPr>
          <w:rFonts w:ascii="Arial" w:eastAsia="Microsoft YaHei" w:hAnsi="Arial"/>
          <w:b/>
          <w:bCs/>
          <w:sz w:val="22"/>
          <w:szCs w:val="22"/>
        </w:rPr>
        <w:t xml:space="preserve">特别提示：须先确认特殊类别数据处理的合法性基础（第9(2)(j)科学研究 + 第89条保障措施），再评估跨境传输合规。临床试验数据通常已进行假名化处理（受试者编号），但须确认假名化的有效性。</w:t>
      </w:r>
    </w:p>
    <w:p>
      <w:pPr>
        <w:spacing w:after="60" w:before="60"/>
      </w:pPr>
      <w:r>
        <w:rPr>
          <w:rFonts w:ascii="Arial" w:eastAsia="Microsoft YaHei" w:hAnsi="Arial"/>
          <w:b/>
          <w:bCs/>
          <w:sz w:val="22"/>
          <w:szCs w:val="22"/>
        </w:rPr>
        <w:t xml:space="preserve">评估结论：传输基本信息已识别。须补充确认受试者是否已签署知情同意书，以及假名化映射表的存储位置。</w:t>
      </w:r>
    </w:p>
    <w:p>
      <w:pPr>
        <w:spacing w:after="60" w:before="140"/>
      </w:pPr>
      <w:r>
        <w:rPr>
          <w:rFonts w:ascii="Arial" w:eastAsia="Microsoft YaHei" w:hAnsi="Arial"/>
          <w:b/>
          <w:bCs/>
          <w:sz w:val="23"/>
          <w:szCs w:val="23"/>
        </w:rPr>
        <w:t xml:space="preserve">第二步：识别传输工具</w:t>
      </w:r>
    </w:p>
    <w:p>
      <w:pPr>
        <w:spacing w:after="60" w:before="60"/>
      </w:pPr>
      <w:r>
        <w:rPr>
          <w:rFonts w:ascii="Arial" w:eastAsia="Microsoft YaHei" w:hAnsi="Arial"/>
          <w:sz w:val="22"/>
          <w:szCs w:val="22"/>
        </w:rPr>
        <w:t xml:space="preserve">已签署SCC Module 2（2021/914版本）。</w:t>
      </w:r>
    </w:p>
    <w:p>
      <w:pPr>
        <w:spacing w:after="60" w:before="60"/>
      </w:pPr>
      <w:r>
        <w:rPr>
          <w:rFonts w:ascii="Arial" w:eastAsia="Microsoft YaHei" w:hAnsi="Arial"/>
          <w:sz w:val="22"/>
          <w:szCs w:val="22"/>
        </w:rPr>
        <w:t xml:space="preserve">印度未获得欧盟适足性认定，使用SCC是适当的传输工具。</w:t>
      </w:r>
    </w:p>
    <w:p>
      <w:pPr>
        <w:spacing w:after="60" w:before="60"/>
      </w:pPr>
      <w:r>
        <w:rPr>
          <w:rFonts w:ascii="Arial" w:eastAsia="Microsoft YaHei" w:hAnsi="Arial"/>
          <w:b/>
          <w:bCs/>
          <w:sz w:val="22"/>
          <w:szCs w:val="22"/>
        </w:rPr>
        <w:t xml:space="preserve">评估结论：传输工具选择正确。须确认SCC Clause 17的适用法律选择。</w:t>
      </w:r>
    </w:p>
    <w:p>
      <w:pPr>
        <w:spacing w:after="60" w:before="140"/>
      </w:pPr>
      <w:r>
        <w:rPr>
          <w:rFonts w:ascii="Arial" w:eastAsia="Microsoft YaHei" w:hAnsi="Arial"/>
          <w:b/>
          <w:bCs/>
          <w:sz w:val="23"/>
          <w:szCs w:val="23"/>
        </w:rPr>
        <w:t xml:space="preserve">第三步：评估目的地法律（关键缺失——须补充）</w:t>
      </w:r>
    </w:p>
    <w:p>
      <w:pPr>
        <w:spacing w:after="60" w:before="60"/>
      </w:pPr>
      <w:r>
        <w:rPr>
          <w:rFonts w:ascii="Arial" w:eastAsia="Microsoft YaHei" w:hAnsi="Arial"/>
          <w:b/>
          <w:bCs/>
          <w:sz w:val="22"/>
          <w:szCs w:val="22"/>
        </w:rPr>
        <w:t xml:space="preserve">此步骤为当前TIA的核心缺失。</w:t>
      </w:r>
    </w:p>
    <w:p>
      <w:pPr>
        <w:spacing w:after="60" w:before="60"/>
      </w:pPr>
      <w:r>
        <w:rPr>
          <w:rFonts w:ascii="Arial" w:eastAsia="Microsoft YaHei" w:hAnsi="Arial"/>
          <w:sz w:val="22"/>
          <w:szCs w:val="22"/>
        </w:rPr>
        <w:t xml:space="preserve">"发展中国家数据风险更低"的认知错误。须评估以下印度法律：</w:t>
      </w:r>
    </w:p>
    <w:p>
      <w:pPr>
        <w:spacing w:after="40" w:before="40"/>
        <w:ind w:left="720" w:hanging="360"/>
      </w:pPr>
      <w:r>
        <w:rPr>
          <w:rFonts w:ascii="Arial" w:eastAsia="Microsoft YaHei" w:hAnsi="Arial"/>
          <w:sz w:val="22"/>
          <w:szCs w:val="22"/>
        </w:rPr>
        <w:t xml:space="preserve">1. 《数字个人数据保护法》(DPDPA 2023, 2023年8月颁布)：印度首部综合性个人数据保护法，规定了数据处理原则、数据主体权利和跨境传输规则。但实施细则和执法机制（Data Protection Board）仍在建立中，执法能力尚不确定。</w:t>
      </w:r>
    </w:p>
    <w:p>
      <w:pPr>
        <w:spacing w:after="40" w:before="40"/>
        <w:ind w:left="720" w:hanging="360"/>
      </w:pPr>
      <w:r>
        <w:rPr>
          <w:rFonts w:ascii="Arial" w:eastAsia="Microsoft YaHei" w:hAnsi="Arial"/>
          <w:sz w:val="22"/>
          <w:szCs w:val="22"/>
        </w:rPr>
        <w:t xml:space="preserve">2. 《信息技术法》(IT Act 2000)第69条：赋予中央政府/州政府以"主权完整、国家安全、公共秩序"为由调取个人数据的权力，且可附带保密义务（禁止告知数据主体）。</w:t>
      </w:r>
    </w:p>
    <w:p>
      <w:pPr>
        <w:spacing w:after="40" w:before="40"/>
        <w:ind w:left="720" w:hanging="360"/>
      </w:pPr>
      <w:r>
        <w:rPr>
          <w:rFonts w:ascii="Arial" w:eastAsia="Microsoft YaHei" w:hAnsi="Arial"/>
          <w:sz w:val="22"/>
          <w:szCs w:val="22"/>
        </w:rPr>
        <w:t xml:space="preserve">3. IT Act第69A条：授权政府封锁公共访问（网站/服务）。</w:t>
      </w:r>
    </w:p>
    <w:p>
      <w:pPr>
        <w:spacing w:after="40" w:before="40"/>
        <w:ind w:left="720" w:hanging="360"/>
      </w:pPr>
      <w:r>
        <w:rPr>
          <w:rFonts w:ascii="Arial" w:eastAsia="Microsoft YaHei" w:hAnsi="Arial"/>
          <w:sz w:val="22"/>
          <w:szCs w:val="22"/>
        </w:rPr>
        <w:t xml:space="preserve">4. IT (Reasonable Security Practices) Rules 2011：规定敏感个人数据的安全标准。</w:t>
      </w:r>
    </w:p>
    <w:p>
      <w:pPr>
        <w:spacing w:after="40" w:before="40"/>
        <w:ind w:left="720" w:hanging="360"/>
      </w:pPr>
      <w:r>
        <w:rPr>
          <w:rFonts w:ascii="Arial" w:eastAsia="Microsoft YaHei" w:hAnsi="Arial"/>
          <w:sz w:val="22"/>
          <w:szCs w:val="22"/>
        </w:rPr>
        <w:t xml:space="preserve">5. 印度《药品与化妆品法》：对临床试验数据有额外监管要求。</w:t>
      </w:r>
    </w:p>
    <w:p>
      <w:pPr>
        <w:spacing w:after="60" w:before="60"/>
      </w:pPr>
      <w:r>
        <w:rPr>
          <w:rFonts w:ascii="Arial" w:eastAsia="Microsoft YaHei" w:hAnsi="Arial"/>
          <w:b/>
          <w:bCs/>
          <w:sz w:val="22"/>
          <w:szCs w:val="22"/>
        </w:rPr>
        <w:t xml:space="preserve">评估结论：印度DPDPA 2023虽与GDPR有相似之处，但执法机制不成熟。IT Act第69条的政府调取权与Schrems II判决关注的政府访问权问题类似。须评估第69条的实际行使频率和对SCC有效性的影响。</w:t>
      </w:r>
    </w:p>
    <w:p>
      <w:pPr>
        <w:spacing w:after="60" w:before="140"/>
      </w:pPr>
      <w:r>
        <w:rPr>
          <w:rFonts w:ascii="Arial" w:eastAsia="Microsoft YaHei" w:hAnsi="Arial"/>
          <w:b/>
          <w:bCs/>
          <w:sz w:val="23"/>
          <w:szCs w:val="23"/>
        </w:rPr>
        <w:t xml:space="preserve">第四步：识别补充措施</w:t>
      </w:r>
    </w:p>
    <w:p>
      <w:pPr>
        <w:spacing w:after="60" w:before="60"/>
      </w:pPr>
      <w:r>
        <w:rPr>
          <w:rFonts w:ascii="Arial" w:eastAsia="Microsoft YaHei" w:hAnsi="Arial"/>
          <w:sz w:val="22"/>
          <w:szCs w:val="22"/>
        </w:rPr>
        <w:t xml:space="preserve">鉴于传输数据为特殊类别数据（健康数据），须采取最高级别补充措施：</w:t>
      </w:r>
    </w:p>
    <w:p>
      <w:pPr>
        <w:spacing w:after="60" w:before="60"/>
      </w:pPr>
      <w:r>
        <w:rPr>
          <w:rFonts w:ascii="Arial" w:eastAsia="Microsoft YaHei" w:hAnsi="Arial"/>
          <w:b/>
          <w:bCs/>
          <w:sz w:val="22"/>
          <w:szCs w:val="22"/>
        </w:rPr>
        <w:t xml:space="preserve">技术性措施：</w:t>
      </w:r>
    </w:p>
    <w:p>
      <w:pPr>
        <w:spacing w:after="40" w:before="40"/>
        <w:ind w:left="720" w:hanging="360"/>
      </w:pPr>
      <w:r>
        <w:rPr>
          <w:rFonts w:ascii="Arial" w:eastAsia="Microsoft YaHei" w:hAnsi="Arial"/>
          <w:sz w:val="22"/>
          <w:szCs w:val="22"/>
        </w:rPr>
        <w:t xml:space="preserve">1. 确保临床试验数据已进行有效假名化：受试者用唯一编号标识，映射表存储于比利时（不传输至印度）</w:t>
      </w:r>
    </w:p>
    <w:p>
      <w:pPr>
        <w:spacing w:after="40" w:before="40"/>
        <w:ind w:left="720" w:hanging="360"/>
      </w:pPr>
      <w:r>
        <w:rPr>
          <w:rFonts w:ascii="Arial" w:eastAsia="Microsoft YaHei" w:hAnsi="Arial"/>
          <w:sz w:val="22"/>
          <w:szCs w:val="22"/>
        </w:rPr>
        <w:t xml:space="preserve">2. 对传输数据采用AES-256加密，密钥由比利时公司管理</w:t>
      </w:r>
    </w:p>
    <w:p>
      <w:pPr>
        <w:spacing w:after="40" w:before="40"/>
        <w:ind w:left="720" w:hanging="360"/>
      </w:pPr>
      <w:r>
        <w:rPr>
          <w:rFonts w:ascii="Arial" w:eastAsia="Microsoft YaHei" w:hAnsi="Arial"/>
          <w:sz w:val="22"/>
          <w:szCs w:val="22"/>
        </w:rPr>
        <w:t xml:space="preserve">3. 限制印度公司仅能访问去标识化的分析数据集，禁止访问可识别个人身份的信息</w:t>
      </w:r>
    </w:p>
    <w:p>
      <w:pPr>
        <w:spacing w:after="40" w:before="40"/>
        <w:ind w:left="720" w:hanging="360"/>
      </w:pPr>
      <w:r>
        <w:rPr>
          <w:rFonts w:ascii="Arial" w:eastAsia="Microsoft YaHei" w:hAnsi="Arial"/>
          <w:sz w:val="22"/>
          <w:szCs w:val="22"/>
        </w:rPr>
        <w:t xml:space="preserve">4. 实施严格的访问控制和操作审计日志</w:t>
      </w:r>
    </w:p>
    <w:p>
      <w:pPr>
        <w:spacing w:after="60" w:before="60"/>
      </w:pPr>
      <w:r>
        <w:rPr>
          <w:rFonts w:ascii="Arial" w:eastAsia="Microsoft YaHei" w:hAnsi="Arial"/>
          <w:b/>
          <w:bCs/>
          <w:sz w:val="22"/>
          <w:szCs w:val="22"/>
        </w:rPr>
        <w:t xml:space="preserve">合同性与组织性措施：</w:t>
      </w:r>
    </w:p>
    <w:p>
      <w:pPr>
        <w:spacing w:after="40" w:before="40"/>
        <w:ind w:left="720" w:hanging="360"/>
      </w:pPr>
      <w:r>
        <w:rPr>
          <w:rFonts w:ascii="Arial" w:eastAsia="Microsoft YaHei" w:hAnsi="Arial"/>
          <w:sz w:val="22"/>
          <w:szCs w:val="22"/>
        </w:rPr>
        <w:t xml:space="preserve">1. 在SCC Clause 14中要求印度公司承诺透明报告IT Act第69条下的政府调取请求</w:t>
      </w:r>
    </w:p>
    <w:p>
      <w:pPr>
        <w:spacing w:after="40" w:before="40"/>
        <w:ind w:left="720" w:hanging="360"/>
      </w:pPr>
      <w:r>
        <w:rPr>
          <w:rFonts w:ascii="Arial" w:eastAsia="Microsoft YaHei" w:hAnsi="Arial"/>
          <w:sz w:val="22"/>
          <w:szCs w:val="22"/>
        </w:rPr>
        <w:t xml:space="preserve">2. 约定印度公司须在收到调取要求时寻求法律审查并及时通知比利时公司</w:t>
      </w:r>
    </w:p>
    <w:p>
      <w:pPr>
        <w:spacing w:after="40" w:before="40"/>
        <w:ind w:left="720" w:hanging="360"/>
      </w:pPr>
      <w:r>
        <w:rPr>
          <w:rFonts w:ascii="Arial" w:eastAsia="Microsoft YaHei" w:hAnsi="Arial"/>
          <w:sz w:val="22"/>
          <w:szCs w:val="22"/>
        </w:rPr>
        <w:t xml:space="preserve">3. 确认印度公司是否通过ISO 27001、GxP等认证</w:t>
      </w:r>
    </w:p>
    <w:p>
      <w:pPr>
        <w:spacing w:after="40" w:before="40"/>
        <w:ind w:left="720" w:hanging="360"/>
      </w:pPr>
      <w:r>
        <w:rPr>
          <w:rFonts w:ascii="Arial" w:eastAsia="Microsoft YaHei" w:hAnsi="Arial"/>
          <w:sz w:val="22"/>
          <w:szCs w:val="22"/>
        </w:rPr>
        <w:t xml:space="preserve">4. 建立年度审计机制，核查数据处理实践和安全措施有效性</w:t>
      </w:r>
    </w:p>
    <w:p>
      <w:pPr>
        <w:spacing w:after="60" w:before="60"/>
      </w:pPr>
      <w:r>
        <w:rPr>
          <w:rFonts w:ascii="Arial" w:eastAsia="Microsoft YaHei" w:hAnsi="Arial"/>
          <w:b/>
          <w:bCs/>
          <w:sz w:val="22"/>
          <w:szCs w:val="22"/>
        </w:rPr>
        <w:t xml:space="preserve">评估结论：若临床试验数据已有效假名化且采取了上述技术补充措施，政府调取权风险可大幅降低——因为即使调取到数据，也无法识别个人身份。这是处理特殊类别数据跨境传输的有效策略。</w:t>
      </w:r>
    </w:p>
    <w:p>
      <w:pPr>
        <w:spacing w:after="60" w:before="140"/>
      </w:pPr>
      <w:r>
        <w:rPr>
          <w:rFonts w:ascii="Arial" w:eastAsia="Microsoft YaHei" w:hAnsi="Arial"/>
          <w:b/>
          <w:bCs/>
          <w:sz w:val="23"/>
          <w:szCs w:val="23"/>
        </w:rPr>
        <w:t xml:space="preserve">第五步：实施步骤与DPO意见</w:t>
      </w:r>
    </w:p>
    <w:p>
      <w:pPr>
        <w:spacing w:after="60" w:before="60"/>
      </w:pPr>
      <w:r>
        <w:rPr>
          <w:rFonts w:ascii="Arial" w:eastAsia="Microsoft YaHei" w:hAnsi="Arial"/>
          <w:b/>
          <w:bCs/>
          <w:sz w:val="22"/>
          <w:szCs w:val="22"/>
        </w:rPr>
        <w:t xml:space="preserve">关键行动：</w:t>
      </w:r>
    </w:p>
    <w:p>
      <w:pPr>
        <w:spacing w:after="40" w:before="40"/>
        <w:ind w:left="720" w:hanging="360"/>
      </w:pPr>
      <w:r>
        <w:rPr>
          <w:rFonts w:ascii="Arial" w:eastAsia="Microsoft YaHei" w:hAnsi="Arial"/>
          <w:sz w:val="22"/>
          <w:szCs w:val="22"/>
        </w:rPr>
        <w:t xml:space="preserve">1. 在30天内完成印度DPDPA 2023和IT Act第69条的深度法律评估</w:t>
      </w:r>
    </w:p>
    <w:p>
      <w:pPr>
        <w:spacing w:after="40" w:before="40"/>
        <w:ind w:left="720" w:hanging="360"/>
      </w:pPr>
      <w:r>
        <w:rPr>
          <w:rFonts w:ascii="Arial" w:eastAsia="Microsoft YaHei" w:hAnsi="Arial"/>
          <w:sz w:val="22"/>
          <w:szCs w:val="22"/>
        </w:rPr>
        <w:t xml:space="preserve">2. 确认临床试验数据假名化的有效性——假名化映射表须存储于比利时，不传输至印度</w:t>
      </w:r>
    </w:p>
    <w:p>
      <w:pPr>
        <w:spacing w:after="40" w:before="40"/>
        <w:ind w:left="720" w:hanging="360"/>
      </w:pPr>
      <w:r>
        <w:rPr>
          <w:rFonts w:ascii="Arial" w:eastAsia="Microsoft YaHei" w:hAnsi="Arial"/>
          <w:sz w:val="22"/>
          <w:szCs w:val="22"/>
        </w:rPr>
        <w:t xml:space="preserve">3. 在60天内实施技术补充措施并征求DPO正式意见</w:t>
      </w:r>
    </w:p>
    <w:p>
      <w:pPr>
        <w:spacing w:after="40" w:before="40"/>
        <w:ind w:left="720" w:hanging="360"/>
      </w:pPr>
      <w:r>
        <w:rPr>
          <w:rFonts w:ascii="Arial" w:eastAsia="Microsoft YaHei" w:hAnsi="Arial"/>
          <w:sz w:val="22"/>
          <w:szCs w:val="22"/>
        </w:rPr>
        <w:t xml:space="preserve">4. 确认第9(2)(j)条科学研究例外和第89条保障措施的适用性</w:t>
      </w:r>
    </w:p>
    <w:p>
      <w:pPr>
        <w:spacing w:after="40" w:before="40"/>
        <w:ind w:left="720" w:hanging="360"/>
      </w:pPr>
      <w:r>
        <w:rPr>
          <w:rFonts w:ascii="Arial" w:eastAsia="Microsoft YaHei" w:hAnsi="Arial"/>
          <w:sz w:val="22"/>
          <w:szCs w:val="22"/>
        </w:rPr>
        <w:t xml:space="preserve">5. 审查印度公司是否满足GCP（良好临床实践）和GxP合规要求</w:t>
      </w:r>
    </w:p>
    <w:p>
      <w:pPr>
        <w:spacing w:after="60" w:before="60"/>
      </w:pPr>
      <w:r>
        <w:rPr>
          <w:rFonts w:ascii="Arial" w:eastAsia="Microsoft YaHei" w:hAnsi="Arial"/>
          <w:b/>
          <w:bCs/>
          <w:sz w:val="22"/>
          <w:szCs w:val="22"/>
        </w:rPr>
        <w:t xml:space="preserve">DPO意见建议：</w:t>
      </w:r>
    </w:p>
    <w:p>
      <w:pPr>
        <w:spacing w:after="60" w:before="60"/>
      </w:pPr>
      <w:r>
        <w:rPr>
          <w:rFonts w:ascii="Arial" w:eastAsia="Microsoft YaHei" w:hAnsi="Arial"/>
          <w:sz w:val="22"/>
          <w:szCs w:val="22"/>
        </w:rPr>
        <w:t xml:space="preserve">鉴于临床试验数据为特殊类别数据，建议DPO要求：1) 确认假名化映射表不传输至印度；2) 技术补充措施到位后方可继续传输；3) 建立独立的临床试验数据保护监督机制。若假名化有效且补充措施到位，传输风险可降低至可接受水平。须持续跟踪印度DPDPA 2023实施细则的发布。</w:t>
      </w:r>
    </w:p>
    <w:p>
      <w:pPr>
        <w:spacing w:after="60" w:before="140"/>
      </w:pPr>
      <w:r>
        <w:rPr>
          <w:rFonts w:ascii="Arial" w:eastAsia="Microsoft YaHei" w:hAnsi="Arial"/>
          <w:b/>
          <w:bCs/>
          <w:sz w:val="23"/>
          <w:szCs w:val="23"/>
        </w:rPr>
        <w:t xml:space="preserve">第六步：定期复审</w:t>
      </w:r>
    </w:p>
    <w:p>
      <w:pPr>
        <w:spacing w:after="60" w:before="60"/>
      </w:pPr>
      <w:r>
        <w:rPr>
          <w:rFonts w:ascii="Arial" w:eastAsia="Microsoft YaHei" w:hAnsi="Arial"/>
          <w:sz w:val="22"/>
          <w:szCs w:val="22"/>
        </w:rPr>
        <w:t xml:space="preserve">设定复审周期为每12个月一次。</w:t>
      </w:r>
    </w:p>
    <w:p>
      <w:pPr>
        <w:spacing w:after="60" w:before="60"/>
      </w:pPr>
      <w:r>
        <w:rPr>
          <w:rFonts w:ascii="Arial" w:eastAsia="Microsoft YaHei" w:hAnsi="Arial"/>
          <w:sz w:val="22"/>
          <w:szCs w:val="22"/>
        </w:rPr>
        <w:t xml:space="preserve">下次复审日期：须在完成当前TIA后设定。</w:t>
      </w:r>
    </w:p>
    <w:p>
      <w:pPr>
        <w:spacing w:after="60" w:before="60"/>
      </w:pPr>
      <w:r>
        <w:rPr>
          <w:rFonts w:ascii="Arial" w:eastAsia="Microsoft YaHei" w:hAnsi="Arial"/>
          <w:sz w:val="22"/>
          <w:szCs w:val="22"/>
        </w:rPr>
        <w:t xml:space="preserve">复审触发事件：印度DPDPA 2023实施细则发布或修订、Data Protection Board开始运作、IT Act修订、临床试验法规变化。</w:t>
      </w:r>
    </w:p>
    <w:p>
      <w:pPr>
        <w:spacing w:after="60" w:before="60"/>
      </w:pPr>
      <w:r>
        <w:rPr>
          <w:rFonts w:ascii="Arial" w:eastAsia="Microsoft YaHei" w:hAnsi="Arial"/>
          <w:sz w:val="22"/>
          <w:szCs w:val="22"/>
        </w:rPr>
        <w:t xml:space="preserve">特别关注：印度DPDPA 2023是一部新法，其执法实践正在发展中。须跟踪Data Protection Board的组建和执法案例。</w:t>
      </w:r>
    </w:p>
    <w:p>
      <w:pPr>
        <w:pStyle w:val="Heading2"/>
        <w:spacing w:after="100" w:before="200"/>
      </w:pPr>
      <w:r>
        <w:rPr>
          <w:rFonts w:ascii="Arial" w:eastAsia="Microsoft YaHei" w:hAnsi="Arial"/>
          <w:b/>
          <w:bCs/>
          <w:sz w:val="26"/>
          <w:szCs w:val="26"/>
        </w:rPr>
        <w:t xml:space="preserve">三、备注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噪声类型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误导、缺失</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难度等级</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中等</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覆盖场景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印度DPDPA 2023评估、IT Act第69条、临床试验数据处理</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适用法域</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欧盟</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24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00" w:before="200"/>
      <w:outlineLvl w:val="1"/>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2026-07-30T16:17:26.582Z</dcterms:created>
  <dcterms:modified xsi:type="dcterms:W3CDTF">2026-07-30T16:17:26.582Z</dcterms:modified>
</cp:coreProperties>
</file>

<file path=docProps/custom.xml><?xml version="1.0" encoding="utf-8"?>
<Properties xmlns="http://schemas.openxmlformats.org/officeDocument/2006/custom-properties" xmlns:vt="http://schemas.openxmlformats.org/officeDocument/2006/docPropsVTypes"/>
</file>