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CA2EB">
      <w:pPr>
        <w:pStyle w:val="4"/>
        <w:keepNext w:val="0"/>
        <w:keepLines w:val="0"/>
        <w:widowControl/>
        <w:suppressLineNumbers w:val="0"/>
      </w:pPr>
      <w:r>
        <w:t xml:space="preserve">案例7-1：医疗机构部署AI辅助诊断系统的DPIA </w:t>
      </w:r>
    </w:p>
    <w:p w14:paraId="267E66A7">
      <w:pPr>
        <w:pStyle w:val="5"/>
        <w:keepNext w:val="0"/>
        <w:keepLines w:val="0"/>
        <w:widowControl/>
        <w:suppressLineNumbers w:val="0"/>
      </w:pPr>
      <w:bookmarkStart w:id="0" w:name="_GoBack"/>
      <w:r>
        <w:t xml:space="preserve">用户输入 </w:t>
      </w:r>
    </w:p>
    <w:p w14:paraId="5F6542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我是XX医疗集团的数据保护官（DPO），我们计划部署一套AI辅助诊断系统，需要开展DPIA。</w:t>
      </w:r>
    </w:p>
    <w:p w14:paraId="72B762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9597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【处理者信息】</w:t>
      </w:r>
    </w:p>
    <w:p w14:paraId="484977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集团名称：XX医疗集团有限公司</w:t>
      </w:r>
    </w:p>
    <w:p w14:paraId="7FE62A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所在地：德国慕尼黑</w:t>
      </w:r>
    </w:p>
    <w:p w14:paraId="2975DFF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行业：医疗服务</w:t>
      </w:r>
    </w:p>
    <w:p w14:paraId="764A8E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员工数：约5000人</w:t>
      </w:r>
    </w:p>
    <w:p w14:paraId="777432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服务患者数：约200万（活跃患者约80万）</w:t>
      </w:r>
    </w:p>
    <w:p w14:paraId="29E491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0C774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【系统描述】</w:t>
      </w:r>
    </w:p>
    <w:p w14:paraId="5BACCC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系统名称：MediAssist Pro（MAP）</w:t>
      </w:r>
    </w:p>
    <w:p w14:paraId="781E6C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供应商：DeepHealth Technologies Ltd.（以色列特拉维夫）</w:t>
      </w:r>
    </w:p>
    <w:p w14:paraId="375C65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系统功能：利用深度学习算法分析医学影像（X光片、CT扫描、MRI），辅助放射科医生识别异常病变。</w:t>
      </w:r>
    </w:p>
    <w:p w14:paraId="323558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部署方式：系统部署在集团内部的私有云上，影像数据不出院区。AI模型由供应商远程维护和更新。</w:t>
      </w:r>
    </w:p>
    <w:p w14:paraId="456448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7AEA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【数据处理详情】</w:t>
      </w:r>
    </w:p>
    <w:p w14:paraId="0E4926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处理的数据类别：</w:t>
      </w:r>
    </w:p>
    <w:p w14:paraId="6B93CA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患者身份信息：姓名、出生日期、病历号、医保号</w:t>
      </w:r>
    </w:p>
    <w:p w14:paraId="364222D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健康数据：医学影像（X光片、CT扫描、MRI）、放射科报告、病理报告、既往病史</w:t>
      </w:r>
    </w:p>
    <w:p w14:paraId="69D3E5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基因数据：部分癌症患者的基因测序结果（用于AI模型的个性化诊断）</w:t>
      </w:r>
    </w:p>
    <w:p w14:paraId="3CD7B7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特殊类别数据：种族/民族信息（用于评估AI模型在不同人群中的偏差）</w:t>
      </w:r>
    </w:p>
    <w:p w14:paraId="1C492D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处理目的：辅助放射科医生进行疾病诊断，提高诊断准确率和效率</w:t>
      </w:r>
    </w:p>
    <w:p w14:paraId="5C6758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数据主体：患者（包括成年人和未成年人）</w:t>
      </w:r>
    </w:p>
    <w:p w14:paraId="176988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数据量：预计每年处理约50万份影像数据</w:t>
      </w:r>
    </w:p>
    <w:p w14:paraId="5F2614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4D12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【数据处理的法律基础】</w:t>
      </w:r>
    </w:p>
    <w:p w14:paraId="4414E2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第6条：为提供医疗服务所必需（第6条第1款(b)项）；为公共利益领域的科学研究所必需（第6条第1款(e)项）</w:t>
      </w:r>
    </w:p>
    <w:p w14:paraId="700B8A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第9条：为提供健康护理所必需（第9条第2款(h)项）；为公共卫生领域的公共利益所必需（第9条第2款(i)项）</w:t>
      </w:r>
    </w:p>
    <w:p w14:paraId="0D0924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第22条：AI系统仅提供辅助建议，最终诊断由放射科医生做出，不构成完全自动化决策</w:t>
      </w:r>
    </w:p>
    <w:p w14:paraId="7A4B79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1142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【数据主体参与】</w:t>
      </w:r>
    </w:p>
    <w:p w14:paraId="4ACB6A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患者入院时签署通用知情同意书，包含"影像资料可用于医学研究和教学"</w:t>
      </w:r>
    </w:p>
    <w:p w14:paraId="50F400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未专门告知AI辅助诊断系统的使用</w:t>
      </w:r>
    </w:p>
    <w:p w14:paraId="166F4FC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未提供退出AI辅助诊断的选择</w:t>
      </w:r>
    </w:p>
    <w:p w14:paraId="7EEEA5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6F851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【数据保护措施】</w:t>
      </w:r>
    </w:p>
    <w:p w14:paraId="7CA579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影像数据存储在集团内部私有云，物理隔离</w:t>
      </w:r>
    </w:p>
    <w:p w14:paraId="7D9FA4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数据传输使用TLS 1.3加密</w:t>
      </w:r>
    </w:p>
    <w:p w14:paraId="24FBBF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访问控制基于角色的权限管理（RBAC）</w:t>
      </w:r>
    </w:p>
    <w:p w14:paraId="771B69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系统日志记录所有访问行为，保留12个月</w:t>
      </w:r>
    </w:p>
    <w:p w14:paraId="789C4E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AI模型训练使用去标识化数据</w:t>
      </w:r>
    </w:p>
    <w:p w14:paraId="29F893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4D008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【数据保留】</w:t>
      </w:r>
    </w:p>
    <w:p w14:paraId="07DBE01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影像数据根据德国法律要求保留10年</w:t>
      </w:r>
    </w:p>
    <w:p w14:paraId="068676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AI分析结果（标记、置信度分数等）保留5年</w:t>
      </w:r>
    </w:p>
    <w:p w14:paraId="20279E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模型训练数据保留至项目结束后3年</w:t>
      </w:r>
    </w:p>
    <w:p w14:paraId="061B110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13D8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【跨境传输】</w:t>
      </w:r>
    </w:p>
    <w:p w14:paraId="2AA7ED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影像数据不出院区，不涉及跨境传输</w:t>
      </w:r>
    </w:p>
    <w:p w14:paraId="69E4C6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AI模型更新时，仅传输模型的参数更新（不含患者数据）至以色列供应商</w:t>
      </w:r>
    </w:p>
    <w:p w14:paraId="1B2F6C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供应商技术人员在紧急情况下可通过VPN远程访问系统日志（不含影像数据）</w:t>
      </w:r>
    </w:p>
    <w:p w14:paraId="58FCA2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D877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【第三方】</w:t>
      </w:r>
    </w:p>
    <w:p w14:paraId="74AB8D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DeepHealth Technologies Ltd.（以色列）：AI模型开发和维护</w:t>
      </w:r>
    </w:p>
    <w:p w14:paraId="254A57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CloudSecure GmbH（德国）：云基础设施托管</w:t>
      </w:r>
    </w:p>
    <w:p w14:paraId="1D11AF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外部审计机构：年度安全和隐私审计</w:t>
      </w:r>
    </w:p>
    <w:bookmarkEnd w:id="0"/>
    <w:p w14:paraId="5266028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90E00">
      <w:pPr>
        <w:pStyle w:val="5"/>
        <w:keepNext w:val="0"/>
        <w:keepLines w:val="0"/>
        <w:widowControl/>
        <w:suppressLineNumbers w:val="0"/>
      </w:pPr>
      <w:r>
        <w:t xml:space="preserve">标准答案（DPIA草案） </w:t>
      </w:r>
    </w:p>
    <w:p w14:paraId="32AB45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00544F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数据保护影响评估报告（DPIA）</w:t>
      </w:r>
    </w:p>
    <w:p w14:paraId="0F992F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Data Protection Impact Assessment</w:t>
      </w:r>
    </w:p>
    <w:p w14:paraId="6513D3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5857989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276B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评估编号：DPIA-2025-MAP-001</w:t>
      </w:r>
    </w:p>
    <w:p w14:paraId="1A44BC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评估日期：2025年6月15日</w:t>
      </w:r>
    </w:p>
    <w:p w14:paraId="2BC953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评估版本：1.0（草案）</w:t>
      </w:r>
    </w:p>
    <w:p w14:paraId="25F4E5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评估主体：XX医疗集团有限公司</w:t>
      </w:r>
    </w:p>
    <w:p w14:paraId="2CF476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评估负责人：[DPO姓名]</w:t>
      </w:r>
    </w:p>
    <w:p w14:paraId="20FE86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C7BC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1D17F9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第一部分：评估概述</w:t>
      </w:r>
    </w:p>
    <w:p w14:paraId="6642AD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44D3A6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B0BF6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 评估背景</w:t>
      </w:r>
    </w:p>
    <w:p w14:paraId="10353E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XX医疗集团有限公司（以下简称"集团"）计划部署MediAssist Pro（MAP）AI辅助诊断系统，</w:t>
      </w:r>
    </w:p>
    <w:p w14:paraId="591F58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用于辅助放射科医生分析医学影像。鉴于该系统涉及大规模处理健康数据和基因数据（均为</w:t>
      </w:r>
    </w:p>
    <w:p w14:paraId="52DF6D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GDPR第9条定义的特殊类别数据），且可能对数据主体的权利和自由带来高风险，根据GDPR</w:t>
      </w:r>
    </w:p>
    <w:p w14:paraId="188F2C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第35条的规定，必须在处理活动开始前开展数据保护影响评估。</w:t>
      </w:r>
    </w:p>
    <w:p w14:paraId="0BC881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B024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1.2 评估范围</w:t>
      </w:r>
    </w:p>
    <w:p w14:paraId="712E9CE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本DPIA覆盖MAP系统的全生命周期，包括：</w:t>
      </w:r>
    </w:p>
    <w:p w14:paraId="650C41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影像数据的采集、存储、传输和处理</w:t>
      </w:r>
    </w:p>
    <w:p w14:paraId="61A05C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AI模型的本地推理和远程维护</w:t>
      </w:r>
    </w:p>
    <w:p w14:paraId="31EFE5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分析结果的生成、存储和使用</w:t>
      </w:r>
    </w:p>
    <w:p w14:paraId="7FCF5F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模型训练数据的处理和保留</w:t>
      </w:r>
    </w:p>
    <w:p w14:paraId="30B6A3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系统日志的访问和管理</w:t>
      </w:r>
    </w:p>
    <w:p w14:paraId="2F4A77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BE8E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1DBC89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第二部分：处理活动描述</w:t>
      </w:r>
    </w:p>
    <w:p w14:paraId="7B4F51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79DF831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2CC64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 处理目的</w:t>
      </w:r>
    </w:p>
    <w:p w14:paraId="00A046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(a) 主要目的：利用AI技术辅助放射科医生识别医学影像中的异常病变，提高诊断的</w:t>
      </w:r>
    </w:p>
    <w:p w14:paraId="3964E7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准确率和效率，减少漏诊和误诊。</w:t>
      </w:r>
    </w:p>
    <w:p w14:paraId="5CA8B19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(b) 次要目的：收集去标识化的影像数据用于AI模型的持续优化和训练，以提升模型</w:t>
      </w:r>
    </w:p>
    <w:p w14:paraId="486040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在多样化人群中的表现。</w:t>
      </w:r>
    </w:p>
    <w:p w14:paraId="336992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(c) 衍生目的：基于群体数据分析，识别疾病分布趋势，支持医院资源规划。</w:t>
      </w:r>
    </w:p>
    <w:p w14:paraId="1F863F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6B2F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 处理的法律基础</w:t>
      </w:r>
    </w:p>
    <w:p w14:paraId="642A7E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B391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数据类型 | 法律基础 | GDPR条款 | 说明 |</w:t>
      </w:r>
    </w:p>
    <w:p w14:paraId="02CA2F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|---------|---------|---------|------|</w:t>
      </w:r>
    </w:p>
    <w:p w14:paraId="5E7B48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身份信息 | 为提供医疗服务所必需 | 第6条第1款(b)项 | 身份信息是关联诊断结果和患者记录所必需 |</w:t>
      </w:r>
    </w:p>
    <w:p w14:paraId="61C14A0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健康数据 | 为提供健康护理所必需 | 第9条第2款(h)项 | AI辅助诊断属于健康护理的组成部分 |</w:t>
      </w:r>
    </w:p>
    <w:p w14:paraId="60C608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基因数据 | 为提供健康护理所必需 | 第9条第2款(h)项 | 基因数据用于个性化诊断（需额外评估必要性） |</w:t>
      </w:r>
    </w:p>
    <w:p w14:paraId="4C948F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种族/民族信息 | 为评估AI偏差（科学研究） | 第9条第2款(j)项 | 需确保符合成员国法律关于科学研究的额外条件 |</w:t>
      </w:r>
    </w:p>
    <w:p w14:paraId="4D9F9AA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模型训练数据 | 为科学研究所必需 | 第9条第2款(j)项 | 需确保去标识化处理充分 |</w:t>
      </w:r>
    </w:p>
    <w:p w14:paraId="0A7129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E6E05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 风险提示：种族/民族信息的处理可能引发歧视风险，需进行额外的必要性论证。</w:t>
      </w:r>
    </w:p>
    <w:p w14:paraId="76EF0D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9C28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 数据流程图</w:t>
      </w:r>
    </w:p>
    <w:p w14:paraId="38DD39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0F4A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[患者就诊] → [采集影像] → [内部私有云存储] → [AI模型分析]</w:t>
      </w:r>
    </w:p>
    <w:p w14:paraId="49B02D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                      ↓</w:t>
      </w:r>
    </w:p>
    <w:p w14:paraId="05994E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[医生诊断] ← [AI辅助结果] ← [结果返回] ← [AI推理引擎]</w:t>
      </w:r>
    </w:p>
    <w:p w14:paraId="5CDAB9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                      ↓</w:t>
      </w:r>
    </w:p>
    <w:p w14:paraId="25068D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              [日志记录] → [供应商远程维护（VPN）]</w:t>
      </w:r>
    </w:p>
    <w:p w14:paraId="0DAD5F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93667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2F8F8E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第三部分：必要性与相称性评估</w:t>
      </w:r>
    </w:p>
    <w:p w14:paraId="7649BB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121E5D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FEF3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 必要性评估</w:t>
      </w:r>
    </w:p>
    <w:p w14:paraId="37FF34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AI辅助诊断系统的部署具有充分的必要性：</w:t>
      </w:r>
    </w:p>
    <w:p w14:paraId="054AAF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放射科医生短缺：集团目前仅有45名放射科医生，年处理约50万份影像，人均</w:t>
      </w:r>
    </w:p>
    <w:p w14:paraId="26BA29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年处理量超过11000份，远高于德国放射学会推荐的6000份上限</w:t>
      </w:r>
    </w:p>
    <w:p w14:paraId="0130483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漏诊风险：研究表明，AI辅助可将早期肺癌的漏诊率降低约30%</w:t>
      </w:r>
    </w:p>
    <w:p w14:paraId="523E08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效率提升：AI预筛选可将医生的阅片时间平均缩短40%</w:t>
      </w:r>
    </w:p>
    <w:p w14:paraId="5BFD8E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3725A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 相称性评估</w:t>
      </w:r>
    </w:p>
    <w:p w14:paraId="4F172B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数据最小化：系统仅处理完成诊断所必需的影像数据和基本身份信息，不处理</w:t>
      </w:r>
    </w:p>
    <w:p w14:paraId="4F805D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与诊断无关的数据（如收入、宗教信仰等）</w:t>
      </w:r>
    </w:p>
    <w:p w14:paraId="2866E6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存储限制：数据保留期限符合德国法律要求</w:t>
      </w:r>
    </w:p>
    <w:p w14:paraId="74A13C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人工决策：AI系统仅提供辅助建议，最终诊断由放射科医生做出，符合GDPR</w:t>
      </w:r>
    </w:p>
    <w:p w14:paraId="561C0F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第22条关于自动化决策的限制</w:t>
      </w:r>
    </w:p>
    <w:p w14:paraId="02B5EE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9C70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 风险提示：基因数据的处理可能超出"为提供健康护理所必需"的范围，需</w:t>
      </w:r>
    </w:p>
    <w:p w14:paraId="66431B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取得患者的具体同意（第9条第2款(a)项）。</w:t>
      </w:r>
    </w:p>
    <w:p w14:paraId="08C4EED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6C41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124795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第四部分：风险评估</w:t>
      </w:r>
    </w:p>
    <w:p w14:paraId="7F2CFA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58C939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C7E3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4.1 风险识别与评估矩阵</w:t>
      </w:r>
    </w:p>
    <w:p w14:paraId="312E6D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5131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┌─────┬──────────────────────────────┬──────────┬──────────┬──────────┐</w:t>
      </w:r>
    </w:p>
    <w:p w14:paraId="63289DE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编号 │ 风险描述                      │ 可能性    │ 严重性    │ 风险等级  │</w:t>
      </w:r>
    </w:p>
    <w:p w14:paraId="202203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├─────┼──────────────────────────────┼──────────┼──────────┼──────────┤</w:t>
      </w:r>
    </w:p>
    <w:p w14:paraId="7AFF35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R1  │ AI模型误诊导致患者健康受损      │ 中        │ 极高      │ 高       │</w:t>
      </w:r>
    </w:p>
    <w:p w14:paraId="508FF5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R2  │ 患者不知情被AI分析（缺乏透明性）│ 高        │ 中        │ 高       │</w:t>
      </w:r>
    </w:p>
    <w:p w14:paraId="6E466A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R3  │ 基因数据被滥用或泄露            │ 低        │ 极高      │ 高       │</w:t>
      </w:r>
    </w:p>
    <w:p w14:paraId="020C76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R4  │ AI模型对不同种族群体的偏差歧视  │ 中        │ 高        │ 高       │</w:t>
      </w:r>
    </w:p>
    <w:p w14:paraId="01B449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R5  │ 供应商远程访问导致数据泄露      │ 中        │ 高        │ 高       │</w:t>
      </w:r>
    </w:p>
    <w:p w14:paraId="61024A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R6  │ 未成年人数据未获监护人同意      │ 中        │ 高        │ 高       │</w:t>
      </w:r>
    </w:p>
    <w:p w14:paraId="7ED985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R7  │ 患者无法退出AI辅助诊断          │ 高        │ 中        │ 中       │</w:t>
      </w:r>
    </w:p>
    <w:p w14:paraId="63592A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R8  │ 模型训练数据的去标识化不充分    │ 中        │ 中        │ 中       │</w:t>
      </w:r>
    </w:p>
    <w:p w14:paraId="723403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R9  │ 系统日志被供应商滥用            │ 低        │ 中        │ 低       │</w:t>
      </w:r>
    </w:p>
    <w:p w14:paraId="3F5BF7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R10 │ 法律基础不充分（种族/基因数据） │ 中        │ 高        │ 高       │</w:t>
      </w:r>
    </w:p>
    <w:p w14:paraId="482623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└─────┴──────────────────────────────┴──────────┴──────────┴──────────┘</w:t>
      </w:r>
    </w:p>
    <w:p w14:paraId="61CCA5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E18E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4.2 风险详解</w:t>
      </w:r>
    </w:p>
    <w:p w14:paraId="4E934E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6E9B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【R1】AI模型误诊风险</w:t>
      </w:r>
    </w:p>
    <w:p w14:paraId="2AD7F9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描述：AI模型可能漏检病变或误将正常组织标记为异常，导致患者延误治疗或</w:t>
      </w:r>
    </w:p>
    <w:p w14:paraId="00D1C8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接受不必要的检查和治疗</w:t>
      </w:r>
    </w:p>
    <w:p w14:paraId="353779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现有控制措施：AI仅提供辅助建议，最终诊断由放射科医生做出；系统设置</w:t>
      </w:r>
    </w:p>
    <w:p w14:paraId="1EC8B2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置信度阈值，低于阈值的标记不显示</w:t>
      </w:r>
    </w:p>
    <w:p w14:paraId="68A6D0F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剩余风险：中</w:t>
      </w:r>
    </w:p>
    <w:p w14:paraId="57244E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建议措施：建立AI辅助诊断的质量监控机制，定期统计AI与医生诊断的一致性率；</w:t>
      </w:r>
    </w:p>
    <w:p w14:paraId="4C5010D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对AI标记异常但医生未采纳的病例进行回溯审查</w:t>
      </w:r>
    </w:p>
    <w:p w14:paraId="6DB8966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564D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【R2】缺乏透明性风险</w:t>
      </w:r>
    </w:p>
    <w:p w14:paraId="4BC3DD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描述：患者在入院时签署的通用知情同意书仅包含"影像资料可用于医学研究和</w:t>
      </w:r>
    </w:p>
    <w:p w14:paraId="175E06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教学"，未专门告知AI辅助诊断系统的使用，患者无法知晓其影像数据将被AI分析</w:t>
      </w:r>
    </w:p>
    <w:p w14:paraId="5581F6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现有控制措施：无</w:t>
      </w:r>
    </w:p>
    <w:p w14:paraId="3E0205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09911E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建议措施：制定专门的AI辅助诊断告知书，在患者就诊时单独告知并获得同意；</w:t>
      </w:r>
    </w:p>
    <w:p w14:paraId="45CDBA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在医院候诊区和网站上公示AI辅助诊断的使用情况</w:t>
      </w:r>
    </w:p>
    <w:p w14:paraId="01BBEF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363CD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【R3】基因数据风险</w:t>
      </w:r>
    </w:p>
    <w:p w14:paraId="5AA126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描述：部分癌症患者的基因测序结果被用于AI模型的个性化诊断，基因数据</w:t>
      </w:r>
    </w:p>
    <w:p w14:paraId="68041F4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属于GDPR第9条的特殊类别数据，具有极高的敏感性和不可更改性</w:t>
      </w:r>
    </w:p>
    <w:p w14:paraId="4F4DFD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现有控制措施：基因数据存储在独立的加密数据库中，仅授权的肿瘤科医生可访问</w:t>
      </w:r>
    </w:p>
    <w:p w14:paraId="036EC3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68B996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建议措施：对基因数据的处理取得患者的具体、明确的同意；评估是否真正</w:t>
      </w:r>
    </w:p>
    <w:p w14:paraId="0D7677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需要基因数据用于AI诊断，如非必需则应排除</w:t>
      </w:r>
    </w:p>
    <w:p w14:paraId="1320DD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EFE7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【R4】AI偏差风险</w:t>
      </w:r>
    </w:p>
    <w:p w14:paraId="2080B8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描述：AI模型可能在特定种族或人群中表现较差，导致诊断不公平。集团</w:t>
      </w:r>
    </w:p>
    <w:p w14:paraId="18E7D1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收集种族/民族信息用于评估偏差，但该信息的处理本身可能引发歧视风险</w:t>
      </w:r>
    </w:p>
    <w:p w14:paraId="6D99DF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现有控制措施：供应商声称模型在多样化数据集中训练；集团计划定期评估</w:t>
      </w:r>
    </w:p>
    <w:p w14:paraId="173F01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模型在不同人群中的表现</w:t>
      </w:r>
    </w:p>
    <w:p w14:paraId="18399C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172BC1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建议措施：建立AI伦理委员会，监督AI模型的公平性评估；确保种族/民族</w:t>
      </w:r>
    </w:p>
    <w:p w14:paraId="2A2B94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信息的处理符合GDPR第9条第2款(j)项的科学研究例外，并采取严格的安全措施</w:t>
      </w:r>
    </w:p>
    <w:p w14:paraId="7A81D6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7BA7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【R5】供应商远程访问风险</w:t>
      </w:r>
    </w:p>
    <w:p w14:paraId="1A3581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描述：以色列供应商技术人员在紧急情况下可通过VPN远程访问系统日志，</w:t>
      </w:r>
    </w:p>
    <w:p w14:paraId="25671A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虽然不包含影像数据，但系统日志可能包含操作员信息、患者ID等</w:t>
      </w:r>
    </w:p>
    <w:p w14:paraId="0EB22A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现有控制措施：VPN连接使用多因素认证；访问权限仅限于紧急情况且需审批；</w:t>
      </w:r>
    </w:p>
    <w:p w14:paraId="75753F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所有远程会话全程记录</w:t>
      </w:r>
    </w:p>
    <w:p w14:paraId="705318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298834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建议措施：与供应商签订数据处理协议（DPA），明确远程访问的限制条件、</w:t>
      </w:r>
    </w:p>
    <w:p w14:paraId="05AC64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数据保护义务和违约责任；考虑将日志中的患者ID进行假名化处理</w:t>
      </w:r>
    </w:p>
    <w:p w14:paraId="5AC70A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3B764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【R6】未成年人数据风险</w:t>
      </w:r>
    </w:p>
    <w:p w14:paraId="0399F8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描述：集团服务的患者中包含未成年人，未成年人的影像数据被AI分析时，</w:t>
      </w:r>
    </w:p>
    <w:p w14:paraId="69290E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需获得监护人的同意。目前的通用同意书可能未充分覆盖这一要求</w:t>
      </w:r>
    </w:p>
    <w:p w14:paraId="7800C1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现有控制措施：无专门针对未成年人的告知和同意机制</w:t>
      </w:r>
    </w:p>
    <w:p w14:paraId="5F5732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62BDA5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建议措施：对未成年患者制定专门的告知流程，确保获得监护人的有效同意；</w:t>
      </w:r>
    </w:p>
    <w:p w14:paraId="4B532A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在系统中标记未成年患者的数据，设置额外的访问控制</w:t>
      </w:r>
    </w:p>
    <w:p w14:paraId="7D9F30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997C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【R10】法律基础不充分风险</w:t>
      </w:r>
    </w:p>
    <w:p w14:paraId="6C2301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描述：种族/民族信息的处理需要GDPR第9条第2款(j)项（科学研究）作为</w:t>
      </w:r>
    </w:p>
    <w:p w14:paraId="3DF28C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法律基础，但该条款要求符合成员国法律的额外条件。德国的相关法律可能</w:t>
      </w:r>
    </w:p>
    <w:p w14:paraId="671656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对此有特殊要求。此外，基因数据的处理可能超出第9条第2款(h)项的范围</w:t>
      </w:r>
    </w:p>
    <w:p w14:paraId="2D47CA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现有控制措施：无</w:t>
      </w:r>
    </w:p>
    <w:p w14:paraId="3A85E5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207563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建议措施：咨询德国数据保护监管机构（BayLDA），确认种族/民族信息和</w:t>
      </w:r>
    </w:p>
    <w:p w14:paraId="213E2D0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基因数据的处理是否符合德国法律的具体要求；必要时取得患者的具体同意</w:t>
      </w:r>
    </w:p>
    <w:p w14:paraId="6BCB1C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D76AB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20E95E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第五部分：风险缓解措施计划</w:t>
      </w:r>
    </w:p>
    <w:p w14:paraId="4012F2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311533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ED24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5.1 高风险缓解措施（优先级：高）</w:t>
      </w:r>
    </w:p>
    <w:p w14:paraId="49E267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4CAC9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编号 | 风险 | 缓解措施 | 责任方 | 完成时限 | 预期剩余风险 |</w:t>
      </w:r>
    </w:p>
    <w:p w14:paraId="5651BD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|------|------|---------|--------|---------|-------------|</w:t>
      </w:r>
    </w:p>
    <w:p w14:paraId="2DBC10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R2   | 缺乏透明性 | 制定AI辅助诊断专项告知书，在患者就诊时单独告知并获得同意 | 医务部+DPO | 系统上线前 | 低 |</w:t>
      </w:r>
    </w:p>
    <w:p w14:paraId="7526C8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R3   | 基因数据 | 评估基因数据的必要性，如非必需则排除；如必需则取得具体同意 | 临床研究部+DPO | 系统上线前 | 中 |</w:t>
      </w:r>
    </w:p>
    <w:p w14:paraId="7AE272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R4   | AI偏差 | 建立AI伦理委员会，制定偏差评估和缓解方案 | 质量管理部 | 系统上线前 | 中 |</w:t>
      </w:r>
    </w:p>
    <w:p w14:paraId="500CA3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R5   | 供应商访问 | 签订DPA，实施日志假名化 | IT部+法务部 | 系统上线前 | 中 |</w:t>
      </w:r>
    </w:p>
    <w:p w14:paraId="5E5498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R6   | 未成年人数据 | 制定未成年人专项告知和同意流程 | 医务部+法务部 | 系统上线前 | 低 |</w:t>
      </w:r>
    </w:p>
    <w:p w14:paraId="1E2BAB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R10  | 法律基础 | 咨询监管机构，取得具体同意（如需要） | DPO+法务部 | 系统上线前 | 低 |</w:t>
      </w:r>
    </w:p>
    <w:p w14:paraId="48C344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D34F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5.2 中风险缓解措施（优先级：中）</w:t>
      </w:r>
    </w:p>
    <w:p w14:paraId="3D2C0B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D0F52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编号 | 风险 | 缓解措施 | 责任方 | 完成时限 | 预期剩余风险 |</w:t>
      </w:r>
    </w:p>
    <w:p w14:paraId="44B29A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|------|------|---------|--------|---------|-------------|</w:t>
      </w:r>
    </w:p>
    <w:p w14:paraId="443FC4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R7   | 无法退出 | 提供患者退出AI辅助诊断的选项，选择退出的患者由医生完全人工诊断 | IT部+医务部 | 系统上线后30日内 | 低 |</w:t>
      </w:r>
    </w:p>
    <w:p w14:paraId="59B0EE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R8   | 去标识化不充分 | 聘请外部专家评估去标识化方案的有效性 | IT部+DPO | 系统上线前 | 低 |</w:t>
      </w:r>
    </w:p>
    <w:p w14:paraId="418B8E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19B2E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5.3 低风险缓解措施（优先级：低）</w:t>
      </w:r>
    </w:p>
    <w:p w14:paraId="5511E6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7CF3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编号 | 风险 | 缓解措施 | 责任方 | 完成时限 | 预期剩余风险 |</w:t>
      </w:r>
    </w:p>
    <w:p w14:paraId="187249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|------|------|---------|--------|---------|-------------|</w:t>
      </w:r>
    </w:p>
    <w:p w14:paraId="508EC4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R9   | 日志滥用 | 实施日志访问的二次审批机制 | IT部 | 系统上线后60日内 | 低 |</w:t>
      </w:r>
    </w:p>
    <w:p w14:paraId="7145B3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84AC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385CCB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第六部分：数据主体参与和咨询</w:t>
      </w:r>
    </w:p>
    <w:p w14:paraId="0F9CEB8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7ECBD4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A86E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6.1 数据主体咨询</w:t>
      </w:r>
    </w:p>
    <w:p w14:paraId="3DC43C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根据GDPR第35条第9款，在适当的情况下，控制者应征求数据主体或其代表</w:t>
      </w:r>
    </w:p>
    <w:p w14:paraId="3BD226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对拟议处理活动的意见。</w:t>
      </w:r>
    </w:p>
    <w:p w14:paraId="526E71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F384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建议措施：</w:t>
      </w:r>
    </w:p>
    <w:p w14:paraId="40DE8C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在医院网站和候诊区公示AI辅助诊断系统的使用情况，征集患者反馈</w:t>
      </w:r>
    </w:p>
    <w:p w14:paraId="2A76ABB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邀请患者代表参与AI伦理委员会的讨论</w:t>
      </w:r>
    </w:p>
    <w:p w14:paraId="79C93F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通过患者满意度调查收集对AI辅助诊断的意见</w:t>
      </w:r>
    </w:p>
    <w:p w14:paraId="0DA3C4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5E70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6.2 监管机构咨询</w:t>
      </w:r>
    </w:p>
    <w:p w14:paraId="1A3C59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根据GDPR第36条，如DPIA表明在没有保护措施的情况下处理活动将导致高风险，</w:t>
      </w:r>
    </w:p>
    <w:p w14:paraId="2C7471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控制者应在处理活动开始前咨询监管机构。</w:t>
      </w:r>
    </w:p>
    <w:p w14:paraId="6B6030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B8AF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建议措施：</w:t>
      </w:r>
    </w:p>
    <w:p w14:paraId="500706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在DPIA完成后，将DPIA报告提交给巴伐利亚州数据保护监管机构（BayLDA）</w:t>
      </w:r>
    </w:p>
    <w:p w14:paraId="1A1280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征求意见</w:t>
      </w:r>
    </w:p>
    <w:p w14:paraId="066161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如监管机构认为风险不可接受，需在获得其书面意见后方可启动系统</w:t>
      </w:r>
    </w:p>
    <w:p w14:paraId="109A9C5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00E4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3D9488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第七部分：结论与建议</w:t>
      </w:r>
    </w:p>
    <w:p w14:paraId="202042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2E848C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A434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7.1 综合评估</w:t>
      </w:r>
    </w:p>
    <w:p w14:paraId="76BA0B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经全面评估，MAP AI辅助诊断系统在提升医疗质量和效率方面具有显著的潜在</w:t>
      </w:r>
    </w:p>
    <w:p w14:paraId="276BC4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收益，但同时也带来了多项高风险，主要集中在透明性不足、基因数据处理、</w:t>
      </w:r>
    </w:p>
    <w:p w14:paraId="67B0BE9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AI偏差、供应商访问和未成年人数据保护等方面。</w:t>
      </w:r>
    </w:p>
    <w:p w14:paraId="54754FC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693C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7.2 结论</w:t>
      </w:r>
    </w:p>
    <w:p w14:paraId="38A365D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☐ 处理活动不会导致高风险 —— 无需进一步措施</w:t>
      </w:r>
    </w:p>
    <w:p w14:paraId="39D3DC8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☐ 高风险已被充分缓解 —— 可以开始处理活动</w:t>
      </w:r>
    </w:p>
    <w:p w14:paraId="16A623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☒ 高风险尚未被充分缓解 —— 需在采取缓解措施后方可开始处理活动</w:t>
      </w:r>
    </w:p>
    <w:p w14:paraId="3B6408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☐ 高风险无法被充分缓解 —— 不建议开始处理活动</w:t>
      </w:r>
    </w:p>
    <w:p w14:paraId="31F1C7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00FF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7.3 前置条件</w:t>
      </w:r>
    </w:p>
    <w:p w14:paraId="467EE6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在MAP系统上线前，必须完成以下事项：</w:t>
      </w:r>
    </w:p>
    <w:p w14:paraId="2C8F8F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✅ 制定并实施AI辅助诊断专项告知和同意流程</w:t>
      </w:r>
    </w:p>
    <w:p w14:paraId="5D766F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✅ 完成基因数据处理的必要性评估并取得具体同意（如必需）</w:t>
      </w:r>
    </w:p>
    <w:p w14:paraId="095ADE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✅ 建立AI伦理委员会并制定偏差评估方案</w:t>
      </w:r>
    </w:p>
    <w:p w14:paraId="75941D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✅ 与供应商签订符合GDPR要求的数据处理协议</w:t>
      </w:r>
    </w:p>
    <w:p w14:paraId="6373B1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✅ 制定未成年人数据保护的专项流程</w:t>
      </w:r>
    </w:p>
    <w:p w14:paraId="261DBFB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✅ 咨询监管机构并获得其意见（如需要）</w:t>
      </w:r>
    </w:p>
    <w:p w14:paraId="761882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 ✅ 提供患者退出AI辅助诊断的选项</w:t>
      </w:r>
    </w:p>
    <w:p w14:paraId="4F2BF3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6865A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7.4 DPIA审查周期</w:t>
      </w:r>
    </w:p>
    <w:p w14:paraId="11BD28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本DPIA应在以下情形发生时进行审查和更新：</w:t>
      </w:r>
    </w:p>
    <w:p w14:paraId="0EE908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AI模型发生重大变更（如新增疾病检测类型）</w:t>
      </w:r>
    </w:p>
    <w:p w14:paraId="79DBE1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处理的数据类别发生变化</w:t>
      </w:r>
    </w:p>
    <w:p w14:paraId="491275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供应商变更</w:t>
      </w:r>
    </w:p>
    <w:p w14:paraId="3338ED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监管机构提出新的要求</w:t>
      </w:r>
    </w:p>
    <w:p w14:paraId="4FF3ECA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每年至少进行一次常规审查</w:t>
      </w:r>
    </w:p>
    <w:p w14:paraId="4E146A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7CDC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67F371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编制人：[DPO姓名]</w:t>
      </w:r>
    </w:p>
    <w:p w14:paraId="313842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审核人：[数据保护委员会]</w:t>
      </w:r>
    </w:p>
    <w:p w14:paraId="2F6069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批准人：[董事会]</w:t>
      </w:r>
    </w:p>
    <w:p w14:paraId="76CB39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日期：2025年6月15日</w:t>
      </w:r>
    </w:p>
    <w:p w14:paraId="53D3C8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7A48DD57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630C37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0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00" w:after="100"/>
      <w:outlineLvl w:val="1"/>
    </w:pPr>
    <w:rPr>
      <w:rFonts w:ascii="Arial" w:hAnsi="Arial" w:eastAsia="微软雅黑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8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727</Words>
  <Characters>897</Characters>
  <TotalTime>5</TotalTime>
  <ScaleCrop>false</ScaleCrop>
  <LinksUpToDate>false</LinksUpToDate>
  <CharactersWithSpaces>912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2026-07-30T16:17:00Z</dcterms:created>
  <dc:creator>Un-named</dc:creator>
  <cp:lastModifiedBy>wsc</cp:lastModifiedBy>
  <dcterms:modified xsi:type="dcterms:W3CDTF">2026-08-03T12:30:34Z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eyJoZGlkIjoiOTY4YTkwNTY5OTI0N2RmNzMxMjdhZTgzZTQ0ZjY3MTUiLCJ1c2VySWQiOiI2NzM3NjQxNDMifQ==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54BE0D230F7548DAA9DF2263686D58A8_12</vt:lpwstr>
  </property>
</Properties>
</file>