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3C3E5">
      <w:pPr>
        <w:pStyle w:val="4"/>
        <w:keepNext w:val="0"/>
        <w:keepLines w:val="0"/>
        <w:widowControl/>
        <w:suppressLineNumbers w:val="0"/>
      </w:pPr>
      <w:bookmarkStart w:id="0" w:name="_GoBack"/>
      <w:r>
        <w:t xml:space="preserve">案例7-2：智能楼宇人脸识别门禁系统的DPIA </w:t>
      </w:r>
    </w:p>
    <w:p w14:paraId="6A84CFFD">
      <w:pPr>
        <w:pStyle w:val="5"/>
        <w:keepNext w:val="0"/>
        <w:keepLines w:val="0"/>
        <w:widowControl/>
        <w:suppressLineNumbers w:val="0"/>
      </w:pPr>
      <w:r>
        <w:t xml:space="preserve">用户输入 </w:t>
      </w:r>
    </w:p>
    <w:p w14:paraId="78271E6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我是SmartOffice Solutions公司的DPO，我们计划在一栋商业写字楼部署人脸识别门禁系统。</w:t>
      </w:r>
    </w:p>
    <w:p w14:paraId="5342BE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243E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【公司信息】</w:t>
      </w:r>
    </w:p>
    <w:p w14:paraId="4BE5CB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公司名称：SmartOffice Solutions GmbH</w:t>
      </w:r>
    </w:p>
    <w:p w14:paraId="338A687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所在地：奥地利维也纳</w:t>
      </w:r>
    </w:p>
    <w:p w14:paraId="40585D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业务：商业写字楼物业管理</w:t>
      </w:r>
    </w:p>
    <w:p w14:paraId="6A8DC2F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管理的建筑：3栋写字楼，约200家企业租户，日均人流量约15000人次</w:t>
      </w:r>
    </w:p>
    <w:p w14:paraId="0CF55C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07B8C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【系统描述】</w:t>
      </w:r>
    </w:p>
    <w:p w14:paraId="45FA5B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系统名称：FacePass Pro</w:t>
      </w:r>
    </w:p>
    <w:p w14:paraId="7B8814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供应商：VisionTech Ltd.（中国深圳）</w:t>
      </w:r>
    </w:p>
    <w:p w14:paraId="1A8308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系统功能：人脸识别门禁——员工和访客通过刷脸进出大楼</w:t>
      </w:r>
    </w:p>
    <w:p w14:paraId="62BB450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部署方式：前端摄像头（每栋楼入口处安装4台）+ 后端服务器（部署在楼内机房）</w:t>
      </w:r>
    </w:p>
    <w:p w14:paraId="13CE3F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人脸数据库：存储于本地服务器，不与互联网连接</w:t>
      </w:r>
    </w:p>
    <w:p w14:paraId="37F6783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430E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【数据处理详情】</w:t>
      </w:r>
    </w:p>
    <w:p w14:paraId="72EB6A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处理的数据类别：</w:t>
      </w:r>
    </w:p>
    <w:p w14:paraId="066911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面部图像（注册时拍摄的正面照片）</w:t>
      </w:r>
    </w:p>
    <w:p w14:paraId="3A8F13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面部特征模板（由算法提取的数学特征向量）</w:t>
      </w:r>
    </w:p>
    <w:p w14:paraId="39004B0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通行记录（进出时间、出入口编号）</w:t>
      </w:r>
    </w:p>
    <w:p w14:paraId="5C3999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员工基本信息（姓名、工号、所属公司、手机号）</w:t>
      </w:r>
    </w:p>
    <w:p w14:paraId="5F4B140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处理目的：楼宇出入安全管理</w:t>
      </w:r>
    </w:p>
    <w:p w14:paraId="22F016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数据主体：写字楼内的企业员工、访客、快递员、清洁工等</w:t>
      </w:r>
    </w:p>
    <w:p w14:paraId="041E6D9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数据量：约20000名注册用户，每天约15000次通行记录</w:t>
      </w:r>
    </w:p>
    <w:p w14:paraId="49FE09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D3CA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【法律基础主张】</w:t>
      </w:r>
    </w:p>
    <w:p w14:paraId="212B38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第6条第1款(f)项：正当利益——物业管理的正当利益（保障楼宇安全）</w:t>
      </w:r>
    </w:p>
    <w:p w14:paraId="0ABF50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第9条：声称人脸识别不涉及特殊类别数据（因为仅提取面部特征模板，</w:t>
      </w:r>
    </w:p>
    <w:p w14:paraId="4EDA9B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不存储原始面部图像）</w:t>
      </w:r>
    </w:p>
    <w:p w14:paraId="5715F6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第22条：不涉及自动化决策，门禁仅验证身份，不做其他判断</w:t>
      </w:r>
    </w:p>
    <w:p w14:paraId="4A4838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5EAB75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【数据主体参与】</w:t>
      </w:r>
    </w:p>
    <w:p w14:paraId="37F786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租户企业在租赁合同中已同意"物业管理方有权采取合理的安全管理措施"</w:t>
      </w:r>
    </w:p>
    <w:p w14:paraId="2508B1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未单独告知人脸识别门禁系统的部署</w:t>
      </w:r>
    </w:p>
    <w:p w14:paraId="0C021F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未提供替代通行方式（如刷卡或二维码）</w:t>
      </w:r>
    </w:p>
    <w:p w14:paraId="77973E8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BD258D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【数据保护措施】</w:t>
      </w:r>
    </w:p>
    <w:p w14:paraId="498693C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面部特征模板使用AES-256加密存储</w:t>
      </w:r>
    </w:p>
    <w:p w14:paraId="389731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服务器位于楼内上锁机房，仅授权IT人员可访问</w:t>
      </w:r>
    </w:p>
    <w:p w14:paraId="4D451D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通行记录保留90天后自动删除</w:t>
      </w:r>
    </w:p>
    <w:p w14:paraId="120505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面部图像在注册完成后即从系统中删除（仅保留特征模板）</w:t>
      </w:r>
    </w:p>
    <w:p w14:paraId="1488B9A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系统不连接互联网，物理隔离</w:t>
      </w:r>
    </w:p>
    <w:p w14:paraId="0C4CB17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E7678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【跨境传输】</w:t>
      </w:r>
    </w:p>
    <w:p w14:paraId="764750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所有数据存储于奥地利本地服务器</w:t>
      </w:r>
    </w:p>
    <w:p w14:paraId="6BEFCE6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供应商（中国深圳）在系统部署调试期间曾远程访问系统</w:t>
      </w:r>
    </w:p>
    <w:p w14:paraId="1465FD8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供应商技术人员理论上可通过VPN进行故障排查</w:t>
      </w:r>
    </w:p>
    <w:p w14:paraId="15B597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B456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【第三方】</w:t>
      </w:r>
    </w:p>
    <w:p w14:paraId="005DF0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VisionTech Ltd.（中国深圳）：系统供应商，提供软件和维护</w:t>
      </w:r>
    </w:p>
    <w:p w14:paraId="14A384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无其他第三方</w:t>
      </w:r>
    </w:p>
    <w:p w14:paraId="0D63E47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4D8D2">
      <w:pPr>
        <w:pStyle w:val="5"/>
        <w:keepNext w:val="0"/>
        <w:keepLines w:val="0"/>
        <w:widowControl/>
        <w:suppressLineNumbers w:val="0"/>
      </w:pPr>
      <w:r>
        <w:t xml:space="preserve">标准答案（DPIA草案） </w:t>
      </w:r>
    </w:p>
    <w:p w14:paraId="6B0A15A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529E35D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数据保护影响评估报告（DPIA）</w:t>
      </w:r>
    </w:p>
    <w:p w14:paraId="4B4288C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Data Protection Impact Assessment</w:t>
      </w:r>
    </w:p>
    <w:p w14:paraId="7482843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640ECE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61C72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评估编号：DPIA-2025-FP-001</w:t>
      </w:r>
    </w:p>
    <w:p w14:paraId="490434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评估日期：2025年7月1日</w:t>
      </w:r>
    </w:p>
    <w:p w14:paraId="1AF2B3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评估版本：1.0（草案）</w:t>
      </w:r>
    </w:p>
    <w:p w14:paraId="61D049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评估主体：SmartOffice Solutions GmbH</w:t>
      </w:r>
    </w:p>
    <w:p w14:paraId="213A53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评估负责人：[DPO姓名]</w:t>
      </w:r>
    </w:p>
    <w:p w14:paraId="243EE8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9DAF3A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5D46896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第一部分：评估概述</w:t>
      </w:r>
    </w:p>
    <w:p w14:paraId="7144ED3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740536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34A8B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 评估背景</w:t>
      </w:r>
    </w:p>
    <w:p w14:paraId="48882FB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SmartOffice Solutions GmbH（以下简称"公司"）计划在其管理的三栋商业写字楼</w:t>
      </w:r>
    </w:p>
    <w:p w14:paraId="43720D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部署FacePass Pro人脸识别门禁系统。鉴于人脸识别涉及生物特征数据的处理，</w:t>
      </w:r>
    </w:p>
    <w:p w14:paraId="768D558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且可能对大量数据主体的权利和自由带来高风险，根据GDPR第35条及EDPB</w:t>
      </w:r>
    </w:p>
    <w:p w14:paraId="7AF48E9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《人脸识别技术指南》的要求，必须在系统部署前开展数据保护影响评估。</w:t>
      </w:r>
    </w:p>
    <w:p w14:paraId="0EDA52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7086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1.2 评估范围</w:t>
      </w:r>
    </w:p>
    <w:p w14:paraId="42C431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本DPIA覆盖FacePass Pro系统的全生命周期，包括：</w:t>
      </w:r>
    </w:p>
    <w:p w14:paraId="0F10A0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面部图像的采集和注册</w:t>
      </w:r>
    </w:p>
    <w:p w14:paraId="4BE1ACA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面部特征模板的生成和存储</w:t>
      </w:r>
    </w:p>
    <w:p w14:paraId="5367E7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通行验证过程中的实时比对</w:t>
      </w:r>
    </w:p>
    <w:p w14:paraId="65A033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通行记录的存储和使用</w:t>
      </w:r>
    </w:p>
    <w:p w14:paraId="64372AA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供应商远程维护和访问</w:t>
      </w:r>
    </w:p>
    <w:p w14:paraId="086F3F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62A22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3F3371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第二部分：处理活动描述</w:t>
      </w:r>
    </w:p>
    <w:p w14:paraId="02281D0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5B2D53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D6FE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 处理目的</w:t>
      </w:r>
    </w:p>
    <w:p w14:paraId="3F933ED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主要目的：通过人脸识别技术验证进出人员的身份，确保只有授权人员可进入</w:t>
      </w:r>
    </w:p>
    <w:p w14:paraId="787BB8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写字楼，提升楼宇安全性。</w:t>
      </w:r>
    </w:p>
    <w:p w14:paraId="722CA11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次要目的：记录通行时间和频次，用于消防安全管理（紧急疏散时统计楼内人数）。</w:t>
      </w:r>
    </w:p>
    <w:p w14:paraId="3699CC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2D478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 处理的法律基础</w:t>
      </w:r>
    </w:p>
    <w:p w14:paraId="28C2A4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D1B1C5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⚠️ 关键</w:t>
      </w:r>
    </w:p>
    <w:p w14:paraId="4813EBA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5770A9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第二部分（续）：处理的法律基础</w:t>
      </w:r>
    </w:p>
    <w:p w14:paraId="0E1D5A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7B3E6A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98131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数据类型 | 法律基础主张 | GDPR条款 | 评估结论 |</w:t>
      </w:r>
    </w:p>
    <w:p w14:paraId="111A1C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|---------|------------|---------|---------|</w:t>
      </w:r>
    </w:p>
    <w:p w14:paraId="6022F4F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面部图像 | 正当利益（物业管理安全） | 第6条第1款(f)项 | ⚠️ 需必要性测试 |</w:t>
      </w:r>
    </w:p>
    <w:p w14:paraId="7F2E4B2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面部特征模板 | 非特殊类别数据（主张） | 第9条（排除适用） | ❌ 主张存疑 |</w:t>
      </w:r>
    </w:p>
    <w:p w14:paraId="6009B1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通行记录 | 正当利益 + 消防安全法定义务 | 第6条第1款(f)(c)项 | ⚠️ 需比例性测试 |</w:t>
      </w:r>
    </w:p>
    <w:p w14:paraId="62BD8F9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员工基本信息 | 租户企业授权 | 第6条第1款(a)项 | ⚠️ 需独立验证 |</w:t>
      </w:r>
    </w:p>
    <w:p w14:paraId="0F97B9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EA335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⚠️ 核心争议：人脸识别数据是否属于GDPR第9条定义的"生物特征数据"？</w:t>
      </w:r>
    </w:p>
    <w:p w14:paraId="39F191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EDPB《关于生物特征识别的指南05/2022》明确指出：用于唯一识别自然人</w:t>
      </w:r>
    </w:p>
    <w:p w14:paraId="110EFC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的面部特征属于特殊类别数据（第9条第1款），无论是否存储原始图像。</w:t>
      </w:r>
    </w:p>
    <w:p w14:paraId="56441E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仅提取特征模板不免除第9条的适用。</w:t>
      </w:r>
    </w:p>
    <w:p w14:paraId="0635B58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6038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因此，第9条的正确适用路径应为：</w:t>
      </w:r>
    </w:p>
    <w:p w14:paraId="12CED5A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选项A：取得数据主体的明示同意（第9条第2款(a)项）</w:t>
      </w:r>
    </w:p>
    <w:p w14:paraId="1832B7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选项B：为重大公共利益所必需（第9条第2款(g)项），需成员国法律授权</w:t>
      </w:r>
    </w:p>
    <w:p w14:paraId="2570AF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选项C：为履行合同所必需（第9条第2款(b)项），需证明无其他替代方案</w:t>
      </w:r>
    </w:p>
    <w:p w14:paraId="7A50215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CB64A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 数据流程图</w:t>
      </w:r>
    </w:p>
    <w:p w14:paraId="4F56E6D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46A6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[人员到达] → [摄像头采集面部图像] → [算法提取特征模板]</w:t>
      </w:r>
    </w:p>
    <w:p w14:paraId="0805A20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                 ↓</w:t>
      </w:r>
    </w:p>
    <w:p w14:paraId="3A3A3EF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[与数据库比对] → [匹配成功→开门] → [记录通行日志]</w:t>
      </w:r>
    </w:p>
    <w:p w14:paraId="15BB67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↓</w:t>
      </w:r>
    </w:p>
    <w:p w14:paraId="4641BC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[匹配失败→拒绝] → [提示刷卡/联系前台]</w:t>
      </w:r>
    </w:p>
    <w:p w14:paraId="13D4E88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6206B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550FED7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第三部分：必要性与相称性评估</w:t>
      </w:r>
    </w:p>
    <w:p w14:paraId="3F5303F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1BF2C0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5B17D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 必要性评估</w:t>
      </w:r>
    </w:p>
    <w:p w14:paraId="72356B9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C204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楼宇安全管理确属正当利益：</w:t>
      </w:r>
    </w:p>
    <w:p w14:paraId="2C10B6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物业管理方对租户的人身和财产安全负有保障义务</w:t>
      </w:r>
    </w:p>
    <w:p w14:paraId="56A111B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传统门禁（刷卡/密码）存在代刷、遗失、共享等安全漏洞</w:t>
      </w:r>
    </w:p>
    <w:p w14:paraId="43CC71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1BA7E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⚠️ 但人脸识别是否为"必要"手段？</w:t>
      </w:r>
    </w:p>
    <w:p w14:paraId="354F382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替代方案1：非接触式IC卡——安全性较高，但可代刷</w:t>
      </w:r>
    </w:p>
    <w:p w14:paraId="413BBA4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替代方案2：手机蓝牙/NFC——安全性高，且可与手机绑定防代刷</w:t>
      </w:r>
    </w:p>
    <w:p w14:paraId="10EF14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替代方案3：静脉识别——同为生物特征但更不易被远距离采集</w:t>
      </w:r>
    </w:p>
    <w:p w14:paraId="1C6F24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结论：人脸识别并非唯一可行方案，需论证为何其他方案不充分</w:t>
      </w:r>
    </w:p>
    <w:p w14:paraId="7A2827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11103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 相称性评估</w:t>
      </w:r>
    </w:p>
    <w:p w14:paraId="50B4BD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06CC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⚠️ 问题1：采集范围过宽</w:t>
      </w:r>
    </w:p>
    <w:p w14:paraId="0A4418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系统采集所有进出人员的面部图像，包括快递员、清洁工、临时访客</w:t>
      </w:r>
    </w:p>
    <w:p w14:paraId="4BB47E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快递员每日可能进出数十次，每次都被采集和比对</w:t>
      </w:r>
    </w:p>
    <w:p w14:paraId="0B8773D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建议：为高频非注册人员设置"访客通道"（前台登记+临时二维码）</w:t>
      </w:r>
    </w:p>
    <w:p w14:paraId="1AA051B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7D0E0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⚠️ 问题2：未提供替代通行方式</w:t>
      </w:r>
    </w:p>
    <w:p w14:paraId="5294B0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当前方案未设置刷卡/二维码等替代方式</w:t>
      </w:r>
    </w:p>
    <w:p w14:paraId="12E2D5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根据EDPB《人脸识别指南》，应为不愿使用人脸识别的人员</w:t>
      </w:r>
    </w:p>
    <w:p w14:paraId="31EBA2A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提供同等便利的替代方案</w:t>
      </w:r>
    </w:p>
    <w:p w14:paraId="60B2E9F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建议：每栋楼至少保留1个刷卡/二维码通道</w:t>
      </w:r>
    </w:p>
    <w:p w14:paraId="74C1EA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6F0FA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⚠️ 问题3：供应商远程访问</w:t>
      </w:r>
    </w:p>
    <w:p w14:paraId="12C3AB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中国深圳供应商曾远程访问系统，且理论上可通过VPN进行故障排查</w:t>
      </w:r>
    </w:p>
    <w:p w14:paraId="52B790B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涉及将生物特征数据传输至第三国（中国）的问题</w:t>
      </w:r>
    </w:p>
    <w:p w14:paraId="4ABDB0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建议：明确禁止供应商远程访问生产环境；如确需远程支持，</w:t>
      </w:r>
    </w:p>
    <w:p w14:paraId="5D6CB5C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仅允许访问假名化日志，不得接触面部模板数据库</w:t>
      </w:r>
    </w:p>
    <w:p w14:paraId="66D54A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F81CB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4A5331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第四部分：风险评估</w:t>
      </w:r>
    </w:p>
    <w:p w14:paraId="27BEC8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086DCE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34FB4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4.1 风险识别与评估矩阵</w:t>
      </w:r>
    </w:p>
    <w:p w14:paraId="00328D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0503C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┌─────┬──────────────────────────────┬──────────┬──────────┬──────────┐</w:t>
      </w:r>
    </w:p>
    <w:p w14:paraId="1AFAE0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编号│ 风险描述                    │ 可能性   │ 严重性   │ 风险等级 │</w:t>
      </w:r>
    </w:p>
    <w:p w14:paraId="74315AA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├─────┼──────────────────────────────┼──────────┼──────────┼──────────┤</w:t>
      </w:r>
    </w:p>
    <w:p w14:paraId="447B0A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R1  │ 面部模板被窃取导致身份冒用  │ 中       │ 极高     │ 高       │</w:t>
      </w:r>
    </w:p>
    <w:p w14:paraId="445887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R2  │ 未提供替代方式侵犯选择权    │ 高       │ 高       │ 高       │</w:t>
      </w:r>
    </w:p>
    <w:p w14:paraId="53B08A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R3  │ 供应商远程访问致数据出境    │ 中       │ 高       │ 高       │</w:t>
      </w:r>
    </w:p>
    <w:p w14:paraId="2F6CBC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R4  │ 快递/访客等非注册人员过度采集│ 高       │ 中       │ 中       │</w:t>
      </w:r>
    </w:p>
    <w:p w14:paraId="0CA36B6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R5  │ 法律基础不成立（第9条适用） │ 高       │ 极高     │ 高       │</w:t>
      </w:r>
    </w:p>
    <w:p w14:paraId="7DC07E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R6  │ 通行记录与人员轨迹关联分析  │ 中       │ 中       │ 中       │</w:t>
      </w:r>
    </w:p>
    <w:p w14:paraId="4A90E5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R7  │ 系统误识/拒识导致无法正常通行│ 中       │ 低       │ 低       │</w:t>
      </w:r>
    </w:p>
    <w:p w14:paraId="24E085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R8  │ 未成年人面部数据采集无监护人同意│ 中     │ 高       │ 高       │</w:t>
      </w:r>
    </w:p>
    <w:p w14:paraId="6684B3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R9  │ 摄像头在非必要时持续采集    │ 高       │ 中       │ 中       │</w:t>
      </w:r>
    </w:p>
    <w:p w14:paraId="0317045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R10 │ 数据保留期限不明确（特征模板）│ 中      │ 中       │ 中       │</w:t>
      </w:r>
    </w:p>
    <w:p w14:paraId="312A03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└─────┴──────────────────────────────┴──────────┴──────────┴──────────┘</w:t>
      </w:r>
    </w:p>
    <w:p w14:paraId="0D2293E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848DF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4.2 高风险详解</w:t>
      </w:r>
    </w:p>
    <w:p w14:paraId="50CAB96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8A36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【R1】面部模板窃取风险</w:t>
      </w:r>
    </w:p>
    <w:p w14:paraId="08656BB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描述：面部特征模板一旦被黑客窃取，由于面部特征不可更改，将导致</w:t>
      </w:r>
    </w:p>
    <w:p w14:paraId="565E09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永久性的身份冒用风险。与密码不同，人脸无法"重置"</w:t>
      </w:r>
    </w:p>
    <w:p w14:paraId="2C4E5A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现有控制措施：AES-256加密存储、服务器物理隔离、访问权限控制</w:t>
      </w:r>
    </w:p>
    <w:p w14:paraId="0E017F9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剩余风险：中（加密有效但密钥管理是关键）</w:t>
      </w:r>
    </w:p>
    <w:p w14:paraId="1255303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建议措施：实施密钥轮换机制（每90天）；对模板数据库实施</w:t>
      </w:r>
    </w:p>
    <w:p w14:paraId="58D631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完整性校验（防篡改）；考虑使用"模板保护技术"（如同态加密或</w:t>
      </w:r>
    </w:p>
    <w:p w14:paraId="30B213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模糊化特征提取）</w:t>
      </w:r>
    </w:p>
    <w:p w14:paraId="79CAB6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5CC1C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【R2】缺乏替代通行方式</w:t>
      </w:r>
    </w:p>
    <w:p w14:paraId="292FB5E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描述：未提供刷卡/二维码等替代方案，迫使所有人员（包括临时访客、</w:t>
      </w:r>
    </w:p>
    <w:p w14:paraId="325EA5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不愿使用人脸识别的租户员工）必须接受面部采集</w:t>
      </w:r>
    </w:p>
    <w:p w14:paraId="3C8A0E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现有控制措施：无</w:t>
      </w:r>
    </w:p>
    <w:p w14:paraId="556944E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剩余风险：高</w:t>
      </w:r>
    </w:p>
    <w:p w14:paraId="0E64FA6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建议措施：每栋楼至少保留1个非生物特征通道（刷卡或二维码）；</w:t>
      </w:r>
    </w:p>
    <w:p w14:paraId="7D0C6F5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在前台设置人工登记替代方案</w:t>
      </w:r>
    </w:p>
    <w:p w14:paraId="489F613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85F9C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【R3】供应商远程访问导致数据出境</w:t>
      </w:r>
    </w:p>
    <w:p w14:paraId="01B99F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描述：中国深圳供应商通过VPN远程访问系统，可能接触面部模板或</w:t>
      </w:r>
    </w:p>
    <w:p w14:paraId="16D63F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通行日志，构成将生物特征数据传输至第三国</w:t>
      </w:r>
    </w:p>
    <w:p w14:paraId="1032D2B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现有控制措施：无明确限制</w:t>
      </w:r>
    </w:p>
    <w:p w14:paraId="0552B7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剩余风险：高</w:t>
      </w:r>
    </w:p>
    <w:p w14:paraId="2EE514C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建议措施：①在DPA中明确禁止供应商访问生产环境 ②如确需远程</w:t>
      </w:r>
    </w:p>
    <w:p w14:paraId="6A59DD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支持，仅允许访问假名化日志 ③如供应商确需接触个人数据，需通过</w:t>
      </w:r>
    </w:p>
    <w:p w14:paraId="61584A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SCCs（标准合同条款）或充分性决定 ④考虑更换为欧盟境内的供应商</w:t>
      </w:r>
    </w:p>
    <w:p w14:paraId="296698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6AE4EE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【R5】法律基础不成立（核心风险）</w:t>
      </w:r>
    </w:p>
    <w:p w14:paraId="1334EA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描述：公司主张面部特征模板"不属于特殊类别数据"，但EDPB指南明确</w:t>
      </w:r>
    </w:p>
    <w:p w14:paraId="19FCAF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指出用于唯一识别的面部特征属于第9条范围。同时，第6条(f)项的</w:t>
      </w:r>
    </w:p>
    <w:p w14:paraId="3BD0316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正当利益基础需通过"利益平衡测试"（Lindqvist测试），而生物特征</w:t>
      </w:r>
    </w:p>
    <w:p w14:paraId="21E6BA3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数据的处理通常倾向于保护数据主体利益</w:t>
      </w:r>
    </w:p>
    <w:p w14:paraId="0F9E35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现有控制措施：无</w:t>
      </w:r>
    </w:p>
    <w:p w14:paraId="710F81F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剩余风险：极高</w:t>
      </w:r>
    </w:p>
    <w:p w14:paraId="3DF129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建议措施：①取得数据主体的明示同意（第9条第2款(a)项）——</w:t>
      </w:r>
    </w:p>
    <w:p w14:paraId="6BBA062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需满足GDPR第7条和第8条的要求（明确、具体、知情、可撤回）</w:t>
      </w:r>
    </w:p>
    <w:p w14:paraId="4CC253B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②或寻求奥地利数据保护法的授权（第9条第2款(g)项）</w:t>
      </w:r>
    </w:p>
    <w:p w14:paraId="6C64D5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③咨询奥地利DSB（数据保护局）确认法律基础</w:t>
      </w:r>
    </w:p>
    <w:p w14:paraId="2FC89C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CBB1B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【R8】未成年人数据保护</w:t>
      </w:r>
    </w:p>
    <w:p w14:paraId="1524B0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描述：写字楼内可能有未成年人（如随家长进入的儿童、实习学生等），</w:t>
      </w:r>
    </w:p>
    <w:p w14:paraId="4D8E81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其面部数据被采集但未取得监护人同意</w:t>
      </w:r>
    </w:p>
    <w:p w14:paraId="11611A8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现有控制措施：无</w:t>
      </w:r>
    </w:p>
    <w:p w14:paraId="618CF58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剩余风险：高</w:t>
      </w:r>
    </w:p>
    <w:p w14:paraId="03BB99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建议措施：在采集端增加"儿童检测"机制（如身高/面部比例判断），</w:t>
      </w:r>
    </w:p>
    <w:p w14:paraId="7A76567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对儿童自动切换为人工登记通道</w:t>
      </w:r>
    </w:p>
    <w:p w14:paraId="529356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3D098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579109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第五部分：风险缓解措施计划</w:t>
      </w:r>
    </w:p>
    <w:p w14:paraId="7031C1D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610042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0FAFD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5.1 高风险缓解措施（优先级：高）</w:t>
      </w:r>
    </w:p>
    <w:p w14:paraId="23B43D8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966FF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编号 | 风险 | 缓解措施 | 责任方 | 完成时限 | 预期剩余风险 |</w:t>
      </w:r>
    </w:p>
    <w:p w14:paraId="6188B9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|------|------|---------|--------|---------|-------------|</w:t>
      </w:r>
    </w:p>
    <w:p w14:paraId="1F7422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R2   | 无替代方式 | 每栋楼设置1个刷卡/二维码通道 | 物业部+IT部 | 上线前 | 低 |</w:t>
      </w:r>
    </w:p>
    <w:p w14:paraId="6DB359F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R3   | 供应商远程访问 | 禁止生产环境远程访问；签订DPA+SCCs | 法务部+IT部 | 上线前 | 低 |</w:t>
      </w:r>
    </w:p>
    <w:p w14:paraId="5F4866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R5   | 法律基础不成立 | 取得数据主体明示同意；咨询DSB | DPO+法务部 | 上线前 | 低 |</w:t>
      </w:r>
    </w:p>
    <w:p w14:paraId="09ABA0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R8   | 未成年人数据 | 增加儿童检测机制，切换人工通道 | IT部 | 上线前 | 低 |</w:t>
      </w:r>
    </w:p>
    <w:p w14:paraId="792F451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08CEA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5.2 中风险缓解措施（优先级：中）</w:t>
      </w:r>
    </w:p>
    <w:p w14:paraId="603732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1972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编号 | 风险 | 缓解措施 | 责任方 | 完成时限 | 预期剩余风险 |</w:t>
      </w:r>
    </w:p>
    <w:p w14:paraId="0E97B32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|------|------|---------|--------|---------|-------------|</w:t>
      </w:r>
    </w:p>
    <w:p w14:paraId="1F1253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R4   | 过度采集 | 设置访客通道（前台登记+临时二维码） | 物业部 | 上线后30日 | 低 |</w:t>
      </w:r>
    </w:p>
    <w:p w14:paraId="78E8B8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R6   | 轨迹关联 | 通行记录加密+限制查询权限+定期清理 | IT部 | 上线后30日 | 低 |</w:t>
      </w:r>
    </w:p>
    <w:p w14:paraId="4EA6A6E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R9   | 持续采集 | 改为"唤醒式采集"（仅在人员靠近时启动） | IT部+供应商 | 上线后60日 | 低 |</w:t>
      </w:r>
    </w:p>
    <w:p w14:paraId="27707D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R10  | 保留期限不明 | 明确特征模板保留90天（与通行记录一致） | DPO+IT部 | 上线前 | 低 |</w:t>
      </w:r>
    </w:p>
    <w:p w14:paraId="12DC34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66E128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5.3 低风险缓解措施（优先级：低）</w:t>
      </w:r>
    </w:p>
    <w:p w14:paraId="6EBC183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4608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编号 | 风险 | 缓解措施 | 责任方 | 完成时限 | 预期剩余风险 |</w:t>
      </w:r>
    </w:p>
    <w:p w14:paraId="0A5FE6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|------|------|---------|--------|---------|-------------|</w:t>
      </w:r>
    </w:p>
    <w:p w14:paraId="5CC7EE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R1   | 模板窃取 | 密钥轮换+完整性校验+模板保护技术 | IT部 | 持续 | 低 |</w:t>
      </w:r>
    </w:p>
    <w:p w14:paraId="0080ADF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R7   | 误识/拒识 | 设置人工复核通道+定期校准算法 | IT部+供应商 | 持续 | 低 |</w:t>
      </w:r>
    </w:p>
    <w:p w14:paraId="1F56037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0F0FA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628B61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第六部分：数据主体参与和咨询</w:t>
      </w:r>
    </w:p>
    <w:p w14:paraId="211296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6057D96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70B3D2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6.1 数据主体告知</w:t>
      </w:r>
    </w:p>
    <w:p w14:paraId="6D629A8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根据GDPR第12-14条，公司需向数据主体提供以下信息：</w:t>
      </w:r>
    </w:p>
    <w:p w14:paraId="073176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是否使用人脸识别技术</w:t>
      </w:r>
    </w:p>
    <w:p w14:paraId="0F4FECE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处理的面部数据的类别和范围</w:t>
      </w:r>
    </w:p>
    <w:p w14:paraId="657D5E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处理的法律基础和目的</w:t>
      </w:r>
    </w:p>
    <w:p w14:paraId="717CEC8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数据保留期限</w:t>
      </w:r>
    </w:p>
    <w:p w14:paraId="32D8050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数据主体的权利（访问、更正、删除、反对、撤回同意等）</w:t>
      </w:r>
    </w:p>
    <w:p w14:paraId="6531D4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如何联系DPO</w:t>
      </w:r>
    </w:p>
    <w:p w14:paraId="4DBF9E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C799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建议措施：</w:t>
      </w:r>
    </w:p>
    <w:p w14:paraId="2EDC51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在每栋楼入口处设置醒目的告知牌</w:t>
      </w:r>
    </w:p>
    <w:p w14:paraId="4B16116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向所有租户企业发送专项通知邮件</w:t>
      </w:r>
    </w:p>
    <w:p w14:paraId="220BAA9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在物业管理APP中增加人脸识别告知页面</w:t>
      </w:r>
    </w:p>
    <w:p w14:paraId="5BA66C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提供多语言版本（德语、英语、中文等）</w:t>
      </w:r>
    </w:p>
    <w:p w14:paraId="525B96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4A19B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6.2 数据主体同意机制</w:t>
      </w:r>
    </w:p>
    <w:p w14:paraId="02E5F6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设计独立的同意页面（APP端+网页端）</w:t>
      </w:r>
    </w:p>
    <w:p w14:paraId="7868A63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明确告知："您的面部数据仅用于门禁验证，不会用于任何商业目的"</w:t>
      </w:r>
    </w:p>
    <w:p w14:paraId="6036C98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同意必须是明确的肯定性动作（勾选框+点击确认）</w:t>
      </w:r>
    </w:p>
    <w:p w14:paraId="3702EC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提供便捷的撤回同意方式（APP内一键撤回）</w:t>
      </w:r>
    </w:p>
    <w:p w14:paraId="509433B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撤回同意后不影响正常通行（切换至刷卡/二维码通道）</w:t>
      </w:r>
    </w:p>
    <w:p w14:paraId="10ADCC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3D4A4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6.3 监管机构咨询</w:t>
      </w:r>
    </w:p>
    <w:p w14:paraId="042186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根据GDPR第36条，建议在处理活动开始前咨询奥地利DSB：</w:t>
      </w:r>
    </w:p>
    <w:p w14:paraId="390954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提交本DPIA报告</w:t>
      </w:r>
    </w:p>
    <w:p w14:paraId="51465E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说明法律基础的选择和论证</w:t>
      </w:r>
    </w:p>
    <w:p w14:paraId="025B00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获取监管机构的书面意见</w:t>
      </w:r>
    </w:p>
    <w:p w14:paraId="76B907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09BC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506DA51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第七部分：结论与建议</w:t>
      </w:r>
    </w:p>
    <w:p w14:paraId="342B5E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40F533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F09BD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7.1 综合评估</w:t>
      </w:r>
    </w:p>
    <w:p w14:paraId="58821C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FacePass Pro人脸识别门禁系统在提升楼宇安全性方面具有潜在价值，</w:t>
      </w:r>
    </w:p>
    <w:p w14:paraId="3A557D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但当前方案存在多项高风险，主要集中在：</w:t>
      </w:r>
    </w:p>
    <w:p w14:paraId="5F727E7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法律基础存疑（第9条适用性问题）</w:t>
      </w:r>
    </w:p>
    <w:p w14:paraId="4ED7DC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缺乏替代通行方式</w:t>
      </w:r>
    </w:p>
    <w:p w14:paraId="526A1B8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供应商远程访问导致数据出境风险</w:t>
      </w:r>
    </w:p>
    <w:p w14:paraId="2477F90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未成年人数据保护缺失</w:t>
      </w:r>
    </w:p>
    <w:p w14:paraId="7F833B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630E6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7.2 结论</w:t>
      </w:r>
    </w:p>
    <w:p w14:paraId="4E9504F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☐ 处理活动不会导致高风险 —— 无需进一步措施</w:t>
      </w:r>
    </w:p>
    <w:p w14:paraId="387F848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☐ 高风险已被充分缓解 —— 可以开始处理活动</w:t>
      </w:r>
    </w:p>
    <w:p w14:paraId="38115E0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☑ 高风险尚未被充分缓解 —— 需在采取缓解措施后方可开始处理活动</w:t>
      </w:r>
    </w:p>
    <w:p w14:paraId="1D7733E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☐ 高风险无法被充分缓解 —— 不建议开始处理活动</w:t>
      </w:r>
    </w:p>
    <w:p w14:paraId="2E4004B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65AAE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7.3 前置条件</w:t>
      </w:r>
    </w:p>
    <w:p w14:paraId="6FA666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在系统上线前，必须完成以下事项：</w:t>
      </w:r>
    </w:p>
    <w:p w14:paraId="4C2161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✅ 取得数据主体的明示同意（或获得奥地利DSB的授权）</w:t>
      </w:r>
    </w:p>
    <w:p w14:paraId="0BC2FCB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✅ 每栋楼设置至少1个非生物特征通道</w:t>
      </w:r>
    </w:p>
    <w:p w14:paraId="628E3C2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✅ 与供应商签订DPA并包含SCCs条款</w:t>
      </w:r>
    </w:p>
    <w:p w14:paraId="14044F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✅ 禁止供应商远程访问生产环境</w:t>
      </w:r>
    </w:p>
    <w:p w14:paraId="21F858B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✅ 设置未成年人检测和替代通道</w:t>
      </w:r>
    </w:p>
    <w:p w14:paraId="14FDB5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 ✅ 向所有数据主体发送专项告知通知</w:t>
      </w:r>
    </w:p>
    <w:p w14:paraId="2686DE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 ✅ 咨询奥地利DSB并获得书面意见</w:t>
      </w:r>
    </w:p>
    <w:p w14:paraId="5B40F6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555468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7.4 DPIA审查周期</w:t>
      </w:r>
    </w:p>
    <w:p w14:paraId="057F569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本DPIA应在以下情形发生时进行审查和更新：</w:t>
      </w:r>
    </w:p>
    <w:p w14:paraId="2C6D067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系统升级或算法更换</w:t>
      </w:r>
    </w:p>
    <w:p w14:paraId="64502BD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供应商变更</w:t>
      </w:r>
    </w:p>
    <w:p w14:paraId="5BE40C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数据处理目的或范围扩大</w:t>
      </w:r>
    </w:p>
    <w:p w14:paraId="73B133C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监管机构提出新要求</w:t>
      </w:r>
    </w:p>
    <w:p w14:paraId="19CD87C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每年至少进行一次常规审查</w:t>
      </w:r>
    </w:p>
    <w:p w14:paraId="6593C86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63DB0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7F4D4C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编制人：[DPO姓名]</w:t>
      </w:r>
    </w:p>
    <w:p w14:paraId="06F0A38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审核人：[数据保护委员会]</w:t>
      </w:r>
    </w:p>
    <w:p w14:paraId="618D00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批准人：[总经理]</w:t>
      </w:r>
    </w:p>
    <w:p w14:paraId="1280A7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日期：2025年7月1日</w:t>
      </w:r>
    </w:p>
    <w:p w14:paraId="5329D0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75F86867"/>
    <w:bookmarkEnd w:id="0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6A000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240" w:after="20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00" w:after="100"/>
      <w:outlineLvl w:val="1"/>
    </w:pPr>
    <w:rPr>
      <w:rFonts w:ascii="Arial" w:hAnsi="Arial" w:eastAsia="微软雅黑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2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微软雅黑"/>
      <w:sz w:val="22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592</Words>
  <Characters>704</Characters>
  <TotalTime>6</TotalTime>
  <ScaleCrop>false</ScaleCrop>
  <LinksUpToDate>false</LinksUpToDate>
  <CharactersWithSpaces>716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2026-07-30T16:17:00Z</dcterms:created>
  <dc:creator>Un-named</dc:creator>
  <cp:lastModifiedBy>wsc</cp:lastModifiedBy>
  <dcterms:modified xsi:type="dcterms:W3CDTF">2026-08-03T12:43:46Z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eyJoZGlkIjoiOTY4YTkwNTY5OTI0N2RmNzMxMjdhZTgzZTQ0ZjY3MTUiLCJ1c2VySWQiOiI2NzM3NjQxNDMifQ==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DD0663C85B1344179102200EB2C3E2F9_12</vt:lpwstr>
  </property>
</Properties>
</file>