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16E3D">
      <w:pPr>
        <w:pStyle w:val="4"/>
        <w:keepNext w:val="0"/>
        <w:keepLines w:val="0"/>
        <w:widowControl/>
        <w:suppressLineNumbers w:val="0"/>
      </w:pPr>
      <w:r>
        <w:t xml:space="preserve">案例8-1：向印度IT外包商传输员工数据的TIA </w:t>
      </w:r>
    </w:p>
    <w:p w14:paraId="3D16F54D">
      <w:pPr>
        <w:pStyle w:val="5"/>
        <w:keepNext w:val="0"/>
        <w:keepLines w:val="0"/>
        <w:widowControl/>
        <w:suppressLineNumbers w:val="0"/>
      </w:pPr>
      <w:r>
        <w:t xml:space="preserve">用户输入 </w:t>
      </w:r>
    </w:p>
    <w:p w14:paraId="67E221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我是FinServe Bank AG的数据保护官，我们需要将部分HR和IT运维数据</w:t>
      </w:r>
    </w:p>
    <w:p w14:paraId="14C83C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传输给印度的外包服务商。请帮我生成一份Transfer Impact Assessment（TIA）。</w:t>
      </w:r>
    </w:p>
    <w:p w14:paraId="7C9413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56C9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【传输方信息】</w:t>
      </w:r>
    </w:p>
    <w:p w14:paraId="67495B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公司名称：FinServe Bank AG</w:t>
      </w:r>
    </w:p>
    <w:p w14:paraId="0457E4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所在地：德国法兰克福</w:t>
      </w:r>
    </w:p>
    <w:p w14:paraId="4299922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行业：金融服务（银行）</w:t>
      </w:r>
    </w:p>
    <w:p w14:paraId="7CB478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CIIO状态：是（关键基础设施运营者——金融领域）</w:t>
      </w:r>
    </w:p>
    <w:p w14:paraId="19593C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D649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【境外接收方信息】</w:t>
      </w:r>
    </w:p>
    <w:p w14:paraId="0772CB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公司名称：TechSupport India Pvt. Ltd.</w:t>
      </w:r>
    </w:p>
    <w:p w14:paraId="0EF3E1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所在地：印度班加罗尔</w:t>
      </w:r>
    </w:p>
    <w:p w14:paraId="42A7A6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关系：数据处理者（为FinServe提供IT运维和HR后台支持）</w:t>
      </w:r>
    </w:p>
    <w:p w14:paraId="4003C2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员工数：约800人（全部在印度）</w:t>
      </w:r>
    </w:p>
    <w:p w14:paraId="6A2023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安全认证：ISO 27001、SOC 2 Type II</w:t>
      </w:r>
    </w:p>
    <w:p w14:paraId="0FFA8D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7566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【传输数据详情】</w:t>
      </w:r>
    </w:p>
    <w:p w14:paraId="79CC613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数据类型：</w:t>
      </w:r>
    </w:p>
    <w:p w14:paraId="31AB96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员工个人数据：姓名、工号、部门、职位、薪资级别、IBAN、税号</w:t>
      </w:r>
    </w:p>
    <w:p w14:paraId="4C7751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HR数据：绩效评估、考勤记录、培训记录、晋升记录</w:t>
      </w:r>
    </w:p>
    <w:p w14:paraId="0D6C05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IT运维数据：系统访问日志、VPN连接记录、设备MAC地址</w:t>
      </w:r>
    </w:p>
    <w:p w14:paraId="03860C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特殊类别数据：健康检查报告（年度体检）、工会会员身份</w:t>
      </w:r>
    </w:p>
    <w:p w14:paraId="1AAF8EB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数据量：约3200名员工（全部为FinServe德国总部员工）</w:t>
      </w:r>
    </w:p>
    <w:p w14:paraId="5C4B0B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传输频率：实时（VPN连接记录）+ 每日批量同步（HR数据）</w:t>
      </w:r>
    </w:p>
    <w:p w14:paraId="59D651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传输方式：加密VPN隧道 + SFTP批量传输</w:t>
      </w:r>
    </w:p>
    <w:p w14:paraId="04BEB3F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E65C0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【传输目的】</w:t>
      </w:r>
    </w:p>
    <w:p w14:paraId="4439B3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IT运维支持：印度团队负责7×24小时监控系统运行，需访问系统日志</w:t>
      </w:r>
    </w:p>
    <w:p w14:paraId="78FA1F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HR后台处理：工资单处理、考勤统计、绩效数据录入</w:t>
      </w:r>
    </w:p>
    <w:p w14:paraId="7EC85F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德语→英语文件翻译服务</w:t>
      </w:r>
    </w:p>
    <w:p w14:paraId="39EC2E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EA92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【法律基础】</w:t>
      </w:r>
    </w:p>
    <w:p w14:paraId="3DF3834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GDPR第28条：数据处理协议（DPA）已签署</w:t>
      </w:r>
    </w:p>
    <w:p w14:paraId="49D287E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SCCs：已签署欧盟委员会2021年版标准合同条款</w:t>
      </w:r>
    </w:p>
    <w:p w14:paraId="44FFB3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第9条第2款(b)项：为履行劳动法义务所必需（健康检查报告）</w:t>
      </w:r>
    </w:p>
    <w:p w14:paraId="6E487B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7650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【印度法律环境】</w:t>
      </w:r>
    </w:p>
    <w:p w14:paraId="4D4057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印度《个人数据保护法案2023》（DPDPA 2023）已生效</w:t>
      </w:r>
    </w:p>
    <w:p w14:paraId="7490BE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印度未获得欧盟充分性认定</w:t>
      </w:r>
    </w:p>
    <w:p w14:paraId="2AA7FC3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印度有本地化要求：某些金融数据需存储在印度境内</w:t>
      </w:r>
    </w:p>
    <w:p w14:paraId="0E761E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印度《信息技术法》第69条授权政府拦截和监控数据</w:t>
      </w:r>
    </w:p>
    <w:p w14:paraId="2F24A8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F17ED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【安全措施】</w:t>
      </w:r>
    </w:p>
    <w:p w14:paraId="0D2848E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传输加密：TLS 1.3</w:t>
      </w:r>
    </w:p>
    <w:p w14:paraId="5FB693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存储加密：AES-256</w:t>
      </w:r>
    </w:p>
    <w:p w14:paraId="641653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访问控制：基于角色的权限管理（RBAC）</w:t>
      </w:r>
    </w:p>
    <w:p w14:paraId="2B440AB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员工培训：印度团队已完成GDPR基础培训</w:t>
      </w:r>
    </w:p>
    <w:p w14:paraId="675D30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审计权：FinServe可随时审计印度服务商</w:t>
      </w:r>
    </w:p>
    <w:p w14:paraId="38EC56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88B2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【补充信息】</w:t>
      </w:r>
    </w:p>
    <w:p w14:paraId="718D7C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印度政府近期要求多家外国银行提交客户数据</w:t>
      </w:r>
    </w:p>
    <w:p w14:paraId="52E534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印度员工中有5人具有管理员权限（可访问所有数据）</w:t>
      </w:r>
    </w:p>
    <w:p w14:paraId="2C6ABD8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未建立数据泄露应急预案</w:t>
      </w:r>
    </w:p>
    <w:p w14:paraId="195272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未评估印度《信息技术法》第69条对SCCs的影响</w:t>
      </w:r>
    </w:p>
    <w:p w14:paraId="503ABC7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5B473">
      <w:pPr>
        <w:pStyle w:val="5"/>
        <w:keepNext w:val="0"/>
        <w:keepLines w:val="0"/>
        <w:widowControl/>
        <w:suppressLineNumbers w:val="0"/>
      </w:pPr>
      <w:r>
        <w:t xml:space="preserve">标准答案（TIA草案） </w:t>
      </w:r>
    </w:p>
    <w:p w14:paraId="5DBD7F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00FA21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Transfer Impact Assessment (TIA)</w:t>
      </w:r>
    </w:p>
    <w:p w14:paraId="620AF4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数据传输影响评估</w:t>
      </w:r>
    </w:p>
    <w:p w14:paraId="27FCA6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104CEA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E106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评估编号：TIA-2025-FS-001</w:t>
      </w:r>
    </w:p>
    <w:p w14:paraId="3454C00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评估日期：2025年8月10日</w:t>
      </w:r>
    </w:p>
    <w:p w14:paraId="25C928C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评估版本：1.0（草案）</w:t>
      </w:r>
    </w:p>
    <w:p w14:paraId="3EEBF9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传输方：FinServe Bank AG（德国法兰克福）</w:t>
      </w:r>
    </w:p>
    <w:p w14:paraId="707C846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接收方：TechSupport India Pvt. Ltd.（印度班加罗尔）</w:t>
      </w:r>
    </w:p>
    <w:p w14:paraId="3FC8F4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评估负责人：[DPO姓名]</w:t>
      </w:r>
    </w:p>
    <w:p w14:paraId="09EA26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CF28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3D6E7C8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第一部分：评估概述</w:t>
      </w:r>
    </w:p>
    <w:p w14:paraId="5F5DD7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22F86F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FA65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 评估背景</w:t>
      </w:r>
    </w:p>
    <w:p w14:paraId="7EDBFB5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FinServe Bank AG（以下简称"银行"）作为GDPR项下的数据控制者，拟将</w:t>
      </w:r>
    </w:p>
    <w:p w14:paraId="2A325C6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员工个人数据传输至位于印度的数据处理者TechSupport India Pvt. Ltd.</w:t>
      </w:r>
    </w:p>
    <w:p w14:paraId="2FA727E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（以下简称"接收方"）。鉴于印度未获得欧盟的充分性认定（Adequacy</w:t>
      </w:r>
    </w:p>
    <w:p w14:paraId="0F2B6C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Decision），且传输涉及特殊类别数据（健康检查报告、工会会员身份），</w:t>
      </w:r>
    </w:p>
    <w:p w14:paraId="25B22A0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根据EDPB《关于补充传输工具的措施的指南》（06/2022）的要求，</w:t>
      </w:r>
    </w:p>
    <w:p w14:paraId="4D2556E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银行需在传输前开展传输影响评估（TIA），评估印度法律环境对</w:t>
      </w:r>
    </w:p>
    <w:p w14:paraId="75FCE5F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SCCs有效性的影响。</w:t>
      </w:r>
    </w:p>
    <w:p w14:paraId="5018CB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0D6FE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1.2 评估法律依据</w:t>
      </w:r>
    </w:p>
    <w:p w14:paraId="4E6141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GDPR第44条：向第三国传输的一般原则</w:t>
      </w:r>
    </w:p>
    <w:p w14:paraId="59A608B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GDPR第46条：适当保障措施（SCCs）</w:t>
      </w:r>
    </w:p>
    <w:p w14:paraId="5482B9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EDPB指南06/2022：《关于补充传输工具的措施的指南》</w:t>
      </w:r>
    </w:p>
    <w:p w14:paraId="744CA6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EDPB指南02/2020：《关于GDPR第46条第2款(f)项规定的指南》</w:t>
      </w:r>
    </w:p>
    <w:p w14:paraId="4023EB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欧盟委员会2021年SCCs（实施决定2021/914）</w:t>
      </w:r>
    </w:p>
    <w:p w14:paraId="0B4963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4B31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1D71C8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第二部分：传输链与数据处理活动描述</w:t>
      </w:r>
    </w:p>
    <w:p w14:paraId="3C4E4F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18460D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2787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 传输链概述</w:t>
      </w:r>
    </w:p>
    <w:p w14:paraId="790A68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3789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[FinServe德国总部]</w:t>
      </w:r>
    </w:p>
    <w:p w14:paraId="2719E0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├── HR系统 ──→ SFTP批量传输 ──→ [印度HR团队]</w:t>
      </w:r>
    </w:p>
    <w:p w14:paraId="165578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├── IT监控系统 ──→ VPN实时传输 ──→ [印度IT运维团队]</w:t>
      </w:r>
    </w:p>
    <w:p w14:paraId="544A4FE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└── 文档管理系统 ──→ VPN实时传输 ──→ [印度翻译团队]</w:t>
      </w:r>
    </w:p>
    <w:p w14:paraId="44EDAC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B8A72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 数据传输详情</w:t>
      </w:r>
    </w:p>
    <w:p w14:paraId="0D0C9B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5DBF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数据类型 | 具体内容 | 敏感程度 | 传输频率 | 接收方处理目的 |</w:t>
      </w:r>
    </w:p>
    <w:p w14:paraId="37BE59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|---------|---------|---------|---------|--------------|</w:t>
      </w:r>
    </w:p>
    <w:p w14:paraId="5ABFC2E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身份信息 | 姓名、工号、部门、职位 | 一般 | 入职时+变更时 | HR后台处理 |</w:t>
      </w:r>
    </w:p>
    <w:p w14:paraId="0BE9B2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财务信息 | 薪资级别、IBAN、税号 | 一般（但敏感） | 每月批量 | 工资单处理 |</w:t>
      </w:r>
    </w:p>
    <w:p w14:paraId="5E8A06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HR数据 | 绩效评估、考勤、培训记录 | 一般 | 每日批量 | HR后台处理 |</w:t>
      </w:r>
    </w:p>
    <w:p w14:paraId="4B9BD9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系统日志 | VPN记录、访问日志、MAC地址 | 一般 | 实时 | IT运维监控 |</w:t>
      </w:r>
    </w:p>
    <w:p w14:paraId="65CD359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健康检查报告 | 年度体检结果 | 特殊类别 | 每年批量 | 履行劳动法义务 |</w:t>
      </w:r>
    </w:p>
    <w:p w14:paraId="5C6001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工会会员身份 | 是否加入工会 | 特殊类别 | 入职时 | HR管理 |</w:t>
      </w:r>
    </w:p>
    <w:p w14:paraId="2371BD1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D0663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 法律基础与传输机制</w:t>
      </w:r>
    </w:p>
    <w:p w14:paraId="38823ED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104C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要素 | 具体安排 |</w:t>
      </w:r>
    </w:p>
    <w:p w14:paraId="669CA8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|------|---------|</w:t>
      </w:r>
    </w:p>
    <w:p w14:paraId="18979D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控制者-处理者关系 | GDPR第28条DPA已签署 |</w:t>
      </w:r>
    </w:p>
    <w:p w14:paraId="4D610DC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适当保障措施 | 欧盟委员会2021年SCCs（模块二：控制者→处理者） |</w:t>
      </w:r>
    </w:p>
    <w:p w14:paraId="38C8A6F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特殊类别数据处理 | GDPR第9条第2款(b)项（履行劳动法义务） |</w:t>
      </w:r>
    </w:p>
    <w:p w14:paraId="569306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补充措施 | TLS 1.3 + AES-256 + RBAC + 审计权 |</w:t>
      </w:r>
    </w:p>
    <w:p w14:paraId="276C7E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325F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6C84D8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第三部分：接收方所在国法律环境评估</w:t>
      </w:r>
    </w:p>
    <w:p w14:paraId="7704ED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59A8F3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53FFA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 印度数据保护法律框架</w:t>
      </w:r>
    </w:p>
    <w:p w14:paraId="4CF697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506DA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(a) 《数字个人数据保护法案2023》（DPDPA 2023）</w:t>
      </w:r>
    </w:p>
    <w:p w14:paraId="5716FA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印度首部综合性数据保护立法，2023年8月获总统批准</w:t>
      </w:r>
    </w:p>
    <w:p w14:paraId="07C893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建立了类似GDPR的框架：同意机制、数据主体权利、数据受托人义务</w:t>
      </w:r>
    </w:p>
    <w:p w14:paraId="39EB78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但执行力度和监管独立性尚待观察（自2024年起逐步实施）</w:t>
      </w:r>
    </w:p>
    <w:p w14:paraId="1BB0CC1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F8A7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(b) 《信息技术法2000》（IT Act 2000）及其修正案</w:t>
      </w:r>
    </w:p>
    <w:p w14:paraId="312CC1B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第69条：授权中央政府或邦政府为国家安全、公共安全等目的，</w:t>
      </w:r>
    </w:p>
    <w:p w14:paraId="367CCF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拦截、监控或解密任何存储在计算机资源中的数据</w:t>
      </w:r>
    </w:p>
    <w:p w14:paraId="196724F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第69B条：授权收集、记录或分析流量数据</w:t>
      </w:r>
    </w:p>
    <w:p w14:paraId="38C0EB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这些条款的适用范围广泛，缺乏司法审查机制</w:t>
      </w:r>
    </w:p>
    <w:p w14:paraId="635788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839538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(c) 《信息技术（程序和保障）规则2024》</w:t>
      </w:r>
    </w:p>
    <w:p w14:paraId="253F41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细化了第69条的执行程序</w:t>
      </w:r>
    </w:p>
    <w:p w14:paraId="176EED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引入了"基本元数据"和"重要个人信息"的分类</w:t>
      </w:r>
    </w:p>
    <w:p w14:paraId="712D082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授权执法机构要求数据受托人交出加密密钥</w:t>
      </w:r>
    </w:p>
    <w:p w14:paraId="3DB735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6A8406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 政府访问权力的评估</w:t>
      </w:r>
    </w:p>
    <w:p w14:paraId="270BC1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FB36F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 核心问题：印度法律是否赋予政府访问个人数据的权力，且该权力</w:t>
      </w:r>
    </w:p>
    <w:p w14:paraId="3A0A27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可能损害SCCs提供的保护水平？</w:t>
      </w:r>
    </w:p>
    <w:p w14:paraId="2D449D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F9199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根据EDPB指南06/2022的"三步法"：</w:t>
      </w:r>
    </w:p>
    <w:p w14:paraId="0EE24D0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97C8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第一步：识别接收方所在国允许政府访问数据的法律</w:t>
      </w:r>
    </w:p>
    <w:p w14:paraId="260CC3E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 印度IT Act第69条、第69B条、DPDPA 2023相关条款</w:t>
      </w:r>
    </w:p>
    <w:p w14:paraId="353322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1AEF0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第二步：评估这些法律是否构成"实质上等同于SCCs所排除的</w:t>
      </w:r>
    </w:p>
    <w:p w14:paraId="40BA206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政府访问"——即是否：</w:t>
      </w:r>
    </w:p>
    <w:p w14:paraId="3D393C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(a) 追求合法的公共目标</w:t>
      </w:r>
    </w:p>
    <w:p w14:paraId="52563B9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(b) 通过民主程序制定</w:t>
      </w:r>
    </w:p>
    <w:p w14:paraId="1D1188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(c) 具有相称性（有明确范围、时限、司法审查）</w:t>
      </w:r>
    </w:p>
    <w:p w14:paraId="5A7713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8FCBDE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评估结论：</w:t>
      </w:r>
    </w:p>
    <w:p w14:paraId="383108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❌ 第69条缺乏司法审查：授权由行政官员做出，无法院审批要求</w:t>
      </w:r>
    </w:p>
    <w:p w14:paraId="1887B17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❌ 范围过于宽泛："国家安全""公共安全"定义模糊</w:t>
      </w:r>
    </w:p>
    <w:p w14:paraId="7A07083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❌ 缺乏相称性保障：无明确的数据最小化要求和保留期限</w:t>
      </w:r>
    </w:p>
    <w:p w14:paraId="525CC6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⚠️ DPDPA 2023有所改善但实施尚不充分</w:t>
      </w:r>
    </w:p>
    <w:p w14:paraId="4B84164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5405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第三步：评估是否存在有效救济途径</w:t>
      </w:r>
    </w:p>
    <w:p w14:paraId="3280F9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印度有高等法院和最高法院可受理公民权利诉讼</w:t>
      </w:r>
    </w:p>
    <w:p w14:paraId="36EB6D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但针对情报/安全机构的诉讼成功率极低</w:t>
      </w:r>
    </w:p>
    <w:p w14:paraId="022F4D6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数据保护局（DPB）尚未完全建立</w:t>
      </w:r>
    </w:p>
    <w:p w14:paraId="59AA00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6514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综合结论：印度法律环境对SCCs有效性的影响——⚠️ 高风险</w:t>
      </w:r>
    </w:p>
    <w:p w14:paraId="6CE1F2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20258F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3.3 印度数据本地化要求</w:t>
      </w:r>
    </w:p>
    <w:p w14:paraId="47F2FBF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92AF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⚠️ 注意事项：印度DPDPA 2023要求某些类别的数据存储在印度境内。</w:t>
      </w:r>
    </w:p>
    <w:p w14:paraId="3F8226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虽然这主要针对"重要个人信息"，但银行需确认：</w:t>
      </w:r>
    </w:p>
    <w:p w14:paraId="73C553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传输给印度服务商的数据是否触发本地化要求</w:t>
      </w:r>
    </w:p>
    <w:p w14:paraId="7870CA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如触发，数据是否可以"传输出境"至印度处理后再存储</w:t>
      </w:r>
    </w:p>
    <w:p w14:paraId="252900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建议咨询印度法律顾问确认具体适用范围</w:t>
      </w:r>
    </w:p>
    <w:p w14:paraId="6CDC94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ABE07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43C7B5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第四部分：风险识别与评估</w:t>
      </w:r>
    </w:p>
    <w:p w14:paraId="2B1CEA8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402298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6420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4.1 风险矩阵</w:t>
      </w:r>
    </w:p>
    <w:p w14:paraId="3E7EB9C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0F682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┌─────┬──────────────────────────────┬──────────┬──────────┬──────────┐</w:t>
      </w:r>
    </w:p>
    <w:p w14:paraId="2E934A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│编号 │ 风险描述                    │ 可能性   │ 严重性   │ 风险等级 │</w:t>
      </w:r>
    </w:p>
    <w:p w14:paraId="793950C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├─────┼──────────────────────────────┼──────────┼──────────┼──────────┤</w:t>
      </w:r>
    </w:p>
    <w:p w14:paraId="1095DB3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│TR1  │ 印度政府依据IT Act第69条    │ 中       │ 极高     │ 高       │</w:t>
      </w:r>
    </w:p>
    <w:p w14:paraId="51195EA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│ 强制访问员工数据            │          │          │          │</w:t>
      </w:r>
    </w:p>
    <w:p w14:paraId="5935E7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│TR2  │ SCCs有效性被印度法律削弱    │ 高       │ 高       │ 高       │</w:t>
      </w:r>
    </w:p>
    <w:p w14:paraId="1200B52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│TR3  │ 健康检查报告被不当访问      │ 中       │ 极高     │ 高       │</w:t>
      </w:r>
    </w:p>
    <w:p w14:paraId="460CFB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     │ （特殊类别数据）            │          │          │          │</w:t>
      </w:r>
    </w:p>
    <w:p w14:paraId="7042A8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│TR4  │ 印度员工滥用管理员权限      │ 中       │ 高       │ 高       │</w:t>
      </w:r>
    </w:p>
    <w:p w14:paraId="166663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│TR5  │ 数据泄露应急预案缺失        │ 高       │ 中       │ 中       │</w:t>
      </w:r>
    </w:p>
    <w:p w14:paraId="0BEDC0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│TR6  │ 印度本地化要求与传输冲突    │ 中       │ 中       │ 中       │</w:t>
      </w:r>
    </w:p>
    <w:p w14:paraId="461794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│TR7  │ 银行作为CIIO的额外合规要求 │ 中       │ 高       │ 高       │</w:t>
      </w:r>
    </w:p>
    <w:p w14:paraId="602CA1A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│TR8  │ 5名管理员可访问全部数据     │ 高       │ 中       │ 中       │</w:t>
      </w:r>
    </w:p>
    <w:p w14:paraId="1CB13F2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│TR9  │ 加密密钥被印度政府要求交出  │ 低       │ 极高     │ 中       │</w:t>
      </w:r>
    </w:p>
    <w:p w14:paraId="6362DF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│TR10 │ 传输日志包含IBAN等敏感字段  │ 中       │ 中       │ 中       │</w:t>
      </w:r>
    </w:p>
    <w:p w14:paraId="63353E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└─────┴──────────────────────────────┴──────────┴──────────┴──────────┘</w:t>
      </w:r>
    </w:p>
    <w:p w14:paraId="16EF7D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C5914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4.2 高风险详解</w:t>
      </w:r>
    </w:p>
    <w:p w14:paraId="55A123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77C05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【TR1】印度政府强制访问风险</w:t>
      </w:r>
    </w:p>
    <w:p w14:paraId="7D92907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描述：印度IT Act第69条授权政府拦截和监控数据。印度服务商</w:t>
      </w:r>
    </w:p>
    <w:p w14:paraId="20145D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可能收到政府命令，要求其提供FinServe员工的数据。</w:t>
      </w:r>
    </w:p>
    <w:p w14:paraId="515019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SCCs冲突：SCCs第15条要求接收方通知传输方政府的访问请求，</w:t>
      </w:r>
    </w:p>
    <w:p w14:paraId="4E6034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但印度法律可能禁止接收方通知（保密令）。</w:t>
      </w:r>
    </w:p>
    <w:p w14:paraId="571F83F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现有控制：SCCs第15条已包含通知义务条款</w:t>
      </w:r>
    </w:p>
    <w:p w14:paraId="08FEDA3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剩余风险：高</w:t>
      </w:r>
    </w:p>
    <w:p w14:paraId="016467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建议措施：①在DPA中增加"国家级访问请求日志"要求 ②评估是否</w:t>
      </w:r>
    </w:p>
    <w:p w14:paraId="2508FD5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可使用端到端加密（E2EE）使接收方无法解密数据 ③考虑将最敏感</w:t>
      </w:r>
    </w:p>
    <w:p w14:paraId="5A5AE6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字段（如健康检查报告）不出境</w:t>
      </w:r>
    </w:p>
    <w:p w14:paraId="25E43F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7D3D7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【TR2】SCCs有效性风险</w:t>
      </w:r>
    </w:p>
    <w:p w14:paraId="6EF2FC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描述：印度法律环境可能使SCCs提供的保护水平实质上被削弱，</w:t>
      </w:r>
    </w:p>
    <w:p w14:paraId="62D132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导致SCCs无法达到GDPR第46条要求的"适当保障"</w:t>
      </w:r>
    </w:p>
    <w:p w14:paraId="17384D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现有控制：SCCs已签署，但缺乏针对印度法律环境的补充措施</w:t>
      </w:r>
    </w:p>
    <w:p w14:paraId="149099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剩余风险：高</w:t>
      </w:r>
    </w:p>
    <w:p w14:paraId="62DE0B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建议措施：①实施EDPB指南06/2022推荐的补充措施（技术措施：</w:t>
      </w:r>
    </w:p>
    <w:p w14:paraId="321ADBA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加密+假名化+最小化；组织措施：审计+培训）②定期（每年）</w:t>
      </w:r>
    </w:p>
    <w:p w14:paraId="7EAAEFC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重新评估印度法律环境变化 ③建立"国家级访问请求"的应对预案</w:t>
      </w:r>
    </w:p>
    <w:p w14:paraId="173613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A968D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【TR3】特殊类别数据风险</w:t>
      </w:r>
    </w:p>
    <w:p w14:paraId="51EA8FC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描述：健康检查报告和工会会员身份属于GDPR第9条特殊类别数据，</w:t>
      </w:r>
    </w:p>
    <w:p w14:paraId="6F2367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一旦被印度政府或未经授权的人员访问，对数据主体的损害不可逆</w:t>
      </w:r>
    </w:p>
    <w:p w14:paraId="4A45FEA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现有控制：存储加密AES-256；访问权限控制</w:t>
      </w:r>
    </w:p>
    <w:p w14:paraId="52B8CC2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剩余风险：高</w:t>
      </w:r>
    </w:p>
    <w:p w14:paraId="616D5E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建议措施：①将特殊类别数据单独存储，实施更高强度的加密</w:t>
      </w:r>
    </w:p>
    <w:p w14:paraId="4FA628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（如字段级加密）②限制可访问特殊类别数据的人员数量（从5人</w:t>
      </w:r>
    </w:p>
    <w:p w14:paraId="0104A6D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减至2人）③考虑在欧盟境内完成健康检查报告的处理，仅传输</w:t>
      </w:r>
    </w:p>
    <w:p w14:paraId="19D692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必要的摘要信息</w:t>
      </w:r>
    </w:p>
    <w:p w14:paraId="3C29E8D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45C2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【TR4】管理员权限滥用风险</w:t>
      </w:r>
    </w:p>
    <w:p w14:paraId="4CA39C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描述：印度团队中5人具有管理员权限，可访问所有数据。这增加了</w:t>
      </w:r>
    </w:p>
    <w:p w14:paraId="2D8EFC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内部威胁风险——管理员可能查看、复制或泄露员工敏感信息</w:t>
      </w:r>
    </w:p>
    <w:p w14:paraId="16FACC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现有控制：访问日志记录12个月</w:t>
      </w:r>
    </w:p>
    <w:p w14:paraId="58945A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剩余风险：高</w:t>
      </w:r>
    </w:p>
    <w:p w14:paraId="4ADA679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建议措施：①实施职责分离（SoD）——管理员不应同时具有</w:t>
      </w:r>
    </w:p>
    <w:p w14:paraId="5FBE0B7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数据查看权限 ②将管理员权限缩减至最小必要人数 ③实施</w:t>
      </w:r>
    </w:p>
    <w:p w14:paraId="2B2A71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特权访问管理（PAM）系统，对所有管理员操作进行实时审计</w:t>
      </w:r>
    </w:p>
    <w:p w14:paraId="651BCFB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④建立管理员行为的异常检测机制</w:t>
      </w:r>
    </w:p>
    <w:p w14:paraId="73F8037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2325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【TR7】CIIO额外合规风险</w:t>
      </w:r>
    </w:p>
    <w:p w14:paraId="182F20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描述：FinServe作为金融领域关键基础设施运营者，向第三国传输</w:t>
      </w:r>
    </w:p>
    <w:p w14:paraId="6831B6B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员工数据可能触发额外的监管要求。德国联邦金融监管局（BaFin）</w:t>
      </w:r>
    </w:p>
    <w:p w14:paraId="5C4DD11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和BSI（联邦信息安全办公室）可能对此有额外审查要求</w:t>
      </w:r>
    </w:p>
    <w:p w14:paraId="30A23B7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现有控制：无</w:t>
      </w:r>
    </w:p>
    <w:p w14:paraId="798DA65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剩余风险：高</w:t>
      </w:r>
    </w:p>
    <w:p w14:paraId="643D86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建议措施：①向BaFin通报跨境数据传输安排 ②咨询BSI获取</w:t>
      </w:r>
    </w:p>
    <w:p w14:paraId="1740AD2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关键信息基础设施的数据出境指导 ③评估是否需要通过德国</w:t>
      </w:r>
    </w:p>
    <w:p w14:paraId="3CB41D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国家层面的安全评估</w:t>
      </w:r>
    </w:p>
    <w:p w14:paraId="2935771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E2F9A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7336D7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第五部分：补充措施方案</w:t>
      </w:r>
    </w:p>
    <w:p w14:paraId="1699CAB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08F2BA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E602D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根据EDPB指南06/2022的要求，在SCCs之外实施以下补充措施：</w:t>
      </w:r>
    </w:p>
    <w:p w14:paraId="7D02A2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3249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5.1 技术措施</w:t>
      </w:r>
    </w:p>
    <w:p w14:paraId="379690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27310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措施 | 具体内容 | 针对风险 |</w:t>
      </w:r>
    </w:p>
    <w:p w14:paraId="21C0C02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|------|---------|---------|</w:t>
      </w:r>
    </w:p>
    <w:p w14:paraId="3E40C3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端到端加密（E2EE） | 数据在欧盟境内加密，密钥仅由欧盟团队持有，印度接收方无法解密 | TR1, TR2 |</w:t>
      </w:r>
    </w:p>
    <w:p w14:paraId="4193C32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假名化 | 对IBAN、税号等敏感字段进行假名化处理，印度团队仅处理假名化数据 | TR3, TR10 |</w:t>
      </w:r>
    </w:p>
    <w:p w14:paraId="1FD6413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数据最小化 | 仅传输完成任务所必需的最小数据集；实施"按需解密"机制 | TR1, TR4 |</w:t>
      </w:r>
    </w:p>
    <w:p w14:paraId="2E48EF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字段级访问控制 | 不同级别的数据设置不同的访问权限；健康数据仅限2人访问 | TR3, TR4 |</w:t>
      </w:r>
    </w:p>
    <w:p w14:paraId="5411DF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完整性校验 | 对数据库实施哈希校验，防止篡改 | TR1 |</w:t>
      </w:r>
    </w:p>
    <w:p w14:paraId="3C2F722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F2D96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5.2 组织措施</w:t>
      </w:r>
    </w:p>
    <w:p w14:paraId="6382A4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245D2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措施 | 具体内容 | 针对风险 |</w:t>
      </w:r>
    </w:p>
    <w:p w14:paraId="0E2D88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|------|---------|---------|</w:t>
      </w:r>
    </w:p>
    <w:p w14:paraId="6348BE2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国家级访问请求日志 | 要求接收方记录所有来自印度政府的访问请求（即使被禁止通知） | TR1, TR2 |</w:t>
      </w:r>
    </w:p>
    <w:p w14:paraId="659E2B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定期审计 | FinServe每季度对印度接收方进行合规审计 | TR4, TR5 |</w:t>
      </w:r>
    </w:p>
    <w:p w14:paraId="6AA3ED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员工背景调查 | 对5名管理员进行强化背景调查（每6个月更新） | TR4 |</w:t>
      </w:r>
    </w:p>
    <w:p w14:paraId="473DF6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数据泄露应急计划 | 制定专门针对印度法律环境的泄露应急方案 | TR5 |</w:t>
      </w:r>
    </w:p>
    <w:p w14:paraId="061930C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| 年度TIA复审 | 每年重新评估印度法律环境变化对SCCs有效性的影响 | TR2 |</w:t>
      </w:r>
    </w:p>
    <w:p w14:paraId="3CEB70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62092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5.3 合同条款补充</w:t>
      </w:r>
    </w:p>
    <w:p w14:paraId="4EEC67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0823B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在现有SCCs基础上，增加以下条款：</w:t>
      </w:r>
    </w:p>
    <w:p w14:paraId="45DF4C9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"接收方应在技术上可行的情况下，采用端到端加密保护传输数据，</w:t>
      </w:r>
    </w:p>
    <w:p w14:paraId="1708A3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且加密密钥不由接收方持有"</w:t>
      </w:r>
    </w:p>
    <w:p w14:paraId="4BE168A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"如接收方收到印度政府的数据访问请求，即使法律禁止通知，</w:t>
      </w:r>
    </w:p>
    <w:p w14:paraId="4CE21AA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也应尽最大努力记录在案并于安全情况下通知传输方"</w:t>
      </w:r>
    </w:p>
    <w:p w14:paraId="4EC5032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"接收方应每季度向传输方报告所有国家级访问请求的情况"</w:t>
      </w:r>
    </w:p>
    <w:p w14:paraId="63FC78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B686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1ACC3B1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第六部分：数据主体权利保障</w:t>
      </w:r>
    </w:p>
    <w:p w14:paraId="01832BA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0EF5E6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7AFC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6.1 权利行使渠道</w:t>
      </w:r>
    </w:p>
    <w:p w14:paraId="5F7733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员工可通过HR部门或DPO邮箱行使访问、更正、删除等权利</w:t>
      </w:r>
    </w:p>
    <w:p w14:paraId="0C1978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印度接收方应在收到请求后48小时内响应</w:t>
      </w:r>
    </w:p>
    <w:p w14:paraId="1EC4E9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特殊类别数据的删除请求应在30天内完成</w:t>
      </w:r>
    </w:p>
    <w:p w14:paraId="4E741C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777A4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6.2 投诉机制</w:t>
      </w:r>
    </w:p>
    <w:p w14:paraId="226417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员工可向德国黑森州数据保护监管机构（HBDI）投诉</w:t>
      </w:r>
    </w:p>
    <w:p w14:paraId="74DD93B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员工可向印度数据保护局（DPB）投诉（如DPB已完全运作）</w:t>
      </w:r>
    </w:p>
    <w:p w14:paraId="04353F4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员工有权就违反SCCs的行为向有管辖权的法院提起诉讼</w:t>
      </w:r>
    </w:p>
    <w:p w14:paraId="60FFD9A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7C64C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170DDA6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第七部分：结论与建议</w:t>
      </w:r>
    </w:p>
    <w:p w14:paraId="5CC360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1DEDFB6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982D8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7.1 综合评估</w:t>
      </w:r>
    </w:p>
    <w:p w14:paraId="0C3F6F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本次向印度传输员工数据的安排，在实施了补充技术措施（E2EE、</w:t>
      </w:r>
    </w:p>
    <w:p w14:paraId="6297AC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假名化、数据最小化）和组织措施（审计、背景调查、应急计划）后，</w:t>
      </w:r>
    </w:p>
    <w:p w14:paraId="2E098D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可以将印度法律环境对SCCs有效性的负面影响降至可接受水平。</w:t>
      </w:r>
    </w:p>
    <w:p w14:paraId="1E2E1C3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D260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7.2 结论</w:t>
      </w:r>
    </w:p>
    <w:p w14:paraId="21BBC6A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☐ 传输不会导致不可接受的风险 —— 可直接进行传输</w:t>
      </w:r>
    </w:p>
    <w:p w14:paraId="64F56B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☑ 风险在补充措施实施后可控 —— 可开始传输</w:t>
      </w:r>
    </w:p>
    <w:p w14:paraId="45D5B4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☐ 风险不可控 —— 不建议进行传输</w:t>
      </w:r>
    </w:p>
    <w:p w14:paraId="64D45E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78F00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7.3 前置条件</w:t>
      </w:r>
    </w:p>
    <w:p w14:paraId="2AFA8A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在数据传输开始前，必须完成以下事项：</w:t>
      </w:r>
    </w:p>
    <w:p w14:paraId="559B38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✅ 部署端到端加密（E2EE），密钥由德国团队持有</w:t>
      </w:r>
    </w:p>
    <w:p w14:paraId="5178F79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✅ 实施数据假名化和最小化</w:t>
      </w:r>
    </w:p>
    <w:p w14:paraId="1CBB801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✅ 缩减管理员权限至最小必要人数</w:t>
      </w:r>
    </w:p>
    <w:p w14:paraId="4EB6A4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✅ 签订补充DPA条款（国家级访问请求、E2EE要求）</w:t>
      </w:r>
    </w:p>
    <w:p w14:paraId="2648AC8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✅ 制定数据泄露应急计划</w:t>
      </w:r>
    </w:p>
    <w:p w14:paraId="4C114E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6. ✅ 向BaFin通报跨境传输安排</w:t>
      </w:r>
    </w:p>
    <w:p w14:paraId="3A60833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 ✅ 完成首次全面审计</w:t>
      </w:r>
    </w:p>
    <w:p w14:paraId="1E497D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8. ✅ 咨询印度法律顾问确认本地化要求</w:t>
      </w:r>
    </w:p>
    <w:p w14:paraId="0F6586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2A0A2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7.4 持续监控要求</w:t>
      </w:r>
    </w:p>
    <w:p w14:paraId="1E6126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每季度审查印度法律环境变化（重点关注IT Act修订和DPDPA实施进展）</w:t>
      </w:r>
    </w:p>
    <w:p w14:paraId="3C52C0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每半年审查一次访问日志和权限配置</w:t>
      </w:r>
    </w:p>
    <w:p w14:paraId="682A14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每年重新评估TIA结论的有效性</w:t>
      </w:r>
    </w:p>
    <w:p w14:paraId="1EB691E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如印度法律发生重大不利变化（如扩大政府访问权力），应立即</w:t>
      </w:r>
    </w:p>
    <w:p w14:paraId="5FF3E9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暂停数据传输并重新评估</w:t>
      </w:r>
    </w:p>
    <w:p w14:paraId="691C537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B8803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06441AE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编制人：[DPO姓名]</w:t>
      </w:r>
    </w:p>
    <w:p w14:paraId="3A915BB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审核人：[数据保护委员会]</w:t>
      </w:r>
    </w:p>
    <w:p w14:paraId="3237402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批准人：[董事会]</w:t>
      </w:r>
    </w:p>
    <w:p w14:paraId="020CDE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日期：2025年8月10日</w:t>
      </w:r>
    </w:p>
    <w:p w14:paraId="198A6F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────────────────────────────────────────</w:t>
      </w:r>
    </w:p>
    <w:p w14:paraId="7BCB5918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7A953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240" w:after="200"/>
      <w:outlineLvl w:val="0"/>
    </w:pPr>
    <w:rPr>
      <w:rFonts w:ascii="Arial" w:hAnsi="Arial" w:eastAsia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00" w:after="100"/>
      <w:outlineLvl w:val="1"/>
    </w:pPr>
    <w:rPr>
      <w:rFonts w:ascii="Arial" w:hAnsi="Arial" w:eastAsia="微软雅黑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9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/>
      <w:sz w:val="20"/>
      <w:szCs w:val="20"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Title"/>
    <w:qFormat/>
    <w:uiPriority w:val="0"/>
    <w:rPr>
      <w:rFonts w:ascii="Arial" w:hAnsi="Arial" w:eastAsia="微软雅黑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微软雅黑"/>
      <w:sz w:val="22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2269</Words>
  <Characters>2733</Characters>
  <TotalTime>4</TotalTime>
  <ScaleCrop>false</ScaleCrop>
  <LinksUpToDate>false</LinksUpToDate>
  <CharactersWithSpaces>2797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2026-07-30T16:17:00Z</dcterms:created>
  <dc:creator>Un-named</dc:creator>
  <cp:lastModifiedBy>wsc</cp:lastModifiedBy>
  <dcterms:modified xsi:type="dcterms:W3CDTF">2026-08-03T12:43:50Z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eyJoZGlkIjoiOTY4YTkwNTY5OTI0N2RmNzMxMjdhZTgzZTQ0ZjY3MTUiLCJ1c2VySWQiOiI2NzM3NjQxNDMifQ==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1EF5C01D184E48FBA1426198E95E4C12_12</vt:lpwstr>
  </property>
</Properties>
</file>