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“文档专项智能审查”测试案例及预期输出</w:t>
      </w:r>
    </w:p>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sz w:val="30"/>
        </w:rPr>
        <w:t xml:space="preserve">测试案例一：审查《数据安全及保密协议》（境内委托处理，但隐含出境风险） </w:t>
      </w:r>
      <w:bookmarkEnd w:id="0"/>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：金陵科技学院（甲方）委托“云途信息技术有限公司”（乙方）进行校园一卡通系统的数据分析和运维。协议未明确提及数据出境，但乙方为跨国企业，其运维平台服务器位于海外。</w:t>
      </w:r>
    </w:p>
    <w:p>
      <w:pPr>
        <w:spacing w:before="120" w:after="120" w:line="288" w:lineRule="auto"/>
        <w:ind w:left="0"/>
        <w:jc w:val="left"/>
      </w:pPr>
      <w:r>
        <w:rPr>
          <w:rFonts w:eastAsia="等线" w:ascii="Arial" w:cs="Arial" w:hAnsi="Arial"/>
          <w:b w:val="true"/>
          <w:sz w:val="22"/>
        </w:rPr>
        <w:t>提交审查的文档全文</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金陵科技学院一卡通数据分析项目数据安全及保密协议</w:t>
              <w:br/>
              <w:t>甲方: 金陵科技学院信息化建设与管理处</w:t>
              <w:br/>
              <w:t>地址: 南京市江宁区弘景大道99号</w:t>
              <w:br/>
              <w:t>邮编: 211169</w:t>
              <w:br/>
              <w:t>电话: 025-86188586</w:t>
              <w:br/>
              <w:t>乙方: 云途信息技术有限公司</w:t>
              <w:br/>
              <w:t>地址: 上海市浦东新区张江高科技园区XX路XX号</w:t>
              <w:br/>
              <w:t>邮编: 200120</w:t>
              <w:br/>
              <w:t>电话: 021-50801234</w:t>
              <w:br/>
              <w:br/>
              <w:t>甲方作为金陵科技学院信息化建设的管理与技术负责部门，有责任确保金陵科技学院各类信息系统的运行安全和数据安全。乙方因工作需要，在金陵科技学院一卡通系统的数据分析与运维过程中，应采取相应的技术措施和其他必要措施，保障数据安全，确保数据不被泄漏或损坏。依据《中华人民共和国数据安全法》，立约双方本着公平自愿的原则，签订下列条款共同遵守:</w:t>
              <w:br/>
              <w:br/>
              <w:t>第一条 本协议所称数据，是指任何以电子或者其他方式对涉及金陵科技学院的信息的记录，包括但不限于一卡通系统的师生消费记录、门禁记录、图书借阅记录等。数据处理，包括数据的收集、存储、使用、加工、传输、提供、公开等。数据安全，是指通过采取必要措施，确保数据处于有效保护和合法利用的状态，以及具备保障持续安全状态的能力。</w:t>
              <w:br/>
              <w:br/>
              <w:t>第二条: 前条所述“数据”不含下列:</w:t>
              <w:br/>
              <w:t>1. 甲方事先以书面明示同意的不予保密的资料、信息等;</w:t>
              <w:br/>
              <w:t>2. 非因乙方原因已为公众所知的信息。</w:t>
              <w:br/>
              <w:br/>
              <w:t>第三条: 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br/>
              <w:br/>
              <w:t>第四条: 如果乙方依照法律程序被要求披露数据，则应第一时间通知甲方使甲方可能寻求保护措施或至其他救济方式。乙方开展数据处理活动应当加强风险监测，发现数据安全缺陷、漏洞等风险时，应当立即采取补救措施;发生数据安全事件时，应当立即采取处置措施，按照规定及时告知甲方并向有关主管部门报告。</w:t>
              <w:br/>
              <w:br/>
              <w:t>第五条: 乙方服务完成或终止后，应立即返还所有甲方提供的“数据”，或者按照甲方的指示对相关材料进行销毁或处理。销毁应采用物理粉碎或多次覆写的方式。</w:t>
              <w:br/>
              <w:br/>
              <w:t>第六条: 本协议的订立、解释和履行适用中华人民共和国法律。因履行本协议产生的争议，双方应友好协商解决。协议不成，任何一方可向**乙方所在地**人民法院起诉。</w:t>
              <w:br/>
              <w:br/>
              <w:t>本协议壹式贰份，经双方签字盖章后生效，由双方各执一份为凭。</w:t>
              <w:br/>
              <w:br/>
              <w:t>甲方: 金陵科技学院信息化建设与管理处       乙方: 云途信息技术有限公司</w:t>
              <w:br/>
              <w:t>责任人: 李某某                              责任人: 张某某</w:t>
              <w:br/>
              <w:t>(盖章):                                     (盖章):</w:t>
              <w:br/>
            </w:r>
            <w:r>
              <w:rPr>
                <w:rFonts w:eastAsia="Consolas" w:ascii="Consolas" w:cs="Consolas" w:hAnsi="Consolas"/>
                <w:sz w:val="22"/>
              </w:rPr>
              <w:t>日期: 2025年10月15日                        日期: 2025年10月15日</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缺失数据出境条款</w:t>
      </w:r>
      <w:r>
        <w:rPr>
          <w:rFonts w:eastAsia="等线" w:ascii="Arial" w:cs="Arial" w:hAnsi="Arial"/>
          <w:sz w:val="22"/>
        </w:rPr>
        <w:t>：协议完全未提及数据处理活动是否涉及数据出境。经背景调查（需用户补充或系统关联），乙方“云途公司”使用的数据分析平台服务器位于新加坡，实际涉及</w:t>
      </w:r>
      <w:r>
        <w:rPr>
          <w:rFonts w:eastAsia="等线" w:ascii="Arial" w:cs="Arial" w:hAnsi="Arial"/>
          <w:b w:val="true"/>
          <w:sz w:val="22"/>
        </w:rPr>
        <w:t>个人信息和可能的重要数据（师生行为数据）出境</w:t>
      </w:r>
      <w:r>
        <w:rPr>
          <w:rFonts w:eastAsia="等线" w:ascii="Arial" w:cs="Arial" w:hAnsi="Arial"/>
          <w:sz w:val="22"/>
        </w:rPr>
        <w:t>，但协议对此无任何约定。</w:t>
      </w:r>
    </w:p>
    <w:p>
      <w:pPr>
        <w:numPr>
          <w:numId w:val="2"/>
        </w:numPr>
        <w:spacing w:before="120" w:after="120" w:line="288" w:lineRule="auto"/>
        <w:ind w:left="0"/>
        <w:jc w:val="left"/>
      </w:pPr>
      <w:r>
        <w:rPr>
          <w:rFonts w:eastAsia="等线" w:ascii="Arial" w:cs="Arial" w:hAnsi="Arial"/>
          <w:b w:val="true"/>
          <w:sz w:val="22"/>
        </w:rPr>
        <w:t>安全义务约定模糊</w:t>
      </w:r>
      <w:r>
        <w:rPr>
          <w:rFonts w:eastAsia="等线" w:ascii="Arial" w:cs="Arial" w:hAnsi="Arial"/>
          <w:sz w:val="22"/>
        </w:rPr>
        <w:t>：第四条中“立即”、“及时”等表述缺乏明确时限，不符合《数据安全法》关于数据安全事件报告的要求。</w:t>
      </w:r>
    </w:p>
    <w:p>
      <w:pPr>
        <w:numPr>
          <w:numId w:val="3"/>
        </w:numPr>
        <w:spacing w:before="120" w:after="120" w:line="288" w:lineRule="auto"/>
        <w:ind w:left="0"/>
        <w:jc w:val="left"/>
      </w:pPr>
      <w:r>
        <w:rPr>
          <w:rFonts w:eastAsia="等线" w:ascii="Arial" w:cs="Arial" w:hAnsi="Arial"/>
          <w:b w:val="true"/>
          <w:sz w:val="22"/>
        </w:rPr>
        <w:t>管辖权条款对委托方不利</w:t>
      </w:r>
      <w:r>
        <w:rPr>
          <w:rFonts w:eastAsia="等线" w:ascii="Arial" w:cs="Arial" w:hAnsi="Arial"/>
          <w:sz w:val="22"/>
        </w:rPr>
        <w:t>：第六条约定争议由“乙方所在地”法院管辖，增加了甲方（数据提供方）的维权成本。</w:t>
      </w:r>
    </w:p>
    <w:p>
      <w:pPr>
        <w:numPr>
          <w:numId w:val="4"/>
        </w:numPr>
        <w:spacing w:before="120" w:after="120" w:line="288" w:lineRule="auto"/>
        <w:ind w:left="0"/>
        <w:jc w:val="left"/>
      </w:pPr>
      <w:r>
        <w:rPr>
          <w:rFonts w:eastAsia="等线" w:ascii="Arial" w:cs="Arial" w:hAnsi="Arial"/>
          <w:b w:val="true"/>
          <w:sz w:val="22"/>
        </w:rPr>
        <w:t>未区分数据类型</w:t>
      </w:r>
      <w:r>
        <w:rPr>
          <w:rFonts w:eastAsia="等线" w:ascii="Arial" w:cs="Arial" w:hAnsi="Arial"/>
          <w:sz w:val="22"/>
        </w:rPr>
        <w:t>：第一条定义的数据范围包含“师生消费记录、门禁记录”等，这些很可能包含个人信息甚至敏感个人信息（如行踪轨迹），但协议未设置差异化的保护要求。</w:t>
      </w:r>
    </w:p>
    <w:p>
      <w:pPr>
        <w:numPr>
          <w:numId w:val="5"/>
        </w:numPr>
        <w:spacing w:before="120" w:after="120" w:line="288" w:lineRule="auto"/>
        <w:ind w:left="0"/>
        <w:jc w:val="left"/>
      </w:pPr>
      <w:r>
        <w:rPr>
          <w:rFonts w:eastAsia="等线" w:ascii="Arial" w:cs="Arial" w:hAnsi="Arial"/>
          <w:b w:val="true"/>
          <w:sz w:val="22"/>
        </w:rPr>
        <w:t>缺乏审计权条款</w:t>
      </w:r>
      <w:r>
        <w:rPr>
          <w:rFonts w:eastAsia="等线" w:ascii="Arial" w:cs="Arial" w:hAnsi="Arial"/>
          <w:sz w:val="22"/>
        </w:rPr>
        <w:t>：未约定甲方对乙方的数据处理活动进行审计监督的权利。</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。本协议为境内数据委托处理协议，但实际业务场景可能涉及数据出境，协议对此完全缺失约定，且存在多项关键条款缺失或对委托方不利的约定。</w:t>
      </w:r>
    </w:p>
    <w:p>
      <w:pPr>
        <w:numPr>
          <w:numId w:val="7"/>
        </w:numPr>
        <w:spacing w:before="120" w:after="120" w:line="288" w:lineRule="auto"/>
        <w:ind w:left="0"/>
        <w:jc w:val="left"/>
      </w:pPr>
      <w:r>
        <w:rPr>
          <w:rFonts w:eastAsia="等线" w:ascii="Arial" w:cs="Arial" w:hAnsi="Arial"/>
          <w:b w:val="true"/>
          <w:sz w:val="22"/>
        </w:rPr>
        <w:t>条款级审查发现（部分示例）</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：全局性缺失。</w:t>
      </w:r>
    </w:p>
    <w:p>
      <w:pPr>
        <w:numPr>
          <w:numId w:val="9"/>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缺失条款（重大遗漏）</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协议未约定数据处理的地理位置。若乙方实际将数据传输出境（至新加坡服务器），则构成数据出境行为，需单独满足《个人信息保护法》第三十八条等规定的合规要求（安全评估、标准合同或认证）。本协议无法作为数据出境的合法依据，导致整个出境活动处于非法状态。</w:t>
      </w:r>
    </w:p>
    <w:p>
      <w:pPr>
        <w:numPr>
          <w:numId w:val="11"/>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：《个人信息保护法》第三十八条；《数据出境安全评估办法》第二条。</w:t>
      </w:r>
    </w:p>
    <w:p>
      <w:pPr>
        <w:numPr>
          <w:numId w:val="12"/>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：增加“数据处理地点”条款，明确数据存储和处理的服务器地理位置。若涉及出境，必须另行签订符合要求的《个人信息出境标准合同》或完成安全评估。</w:t>
      </w:r>
    </w:p>
    <w:p>
      <w:pPr>
        <w:numPr>
          <w:numId w:val="13"/>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：第六条，争议解决。</w:t>
      </w:r>
    </w:p>
    <w:p>
      <w:pPr>
        <w:numPr>
          <w:numId w:val="14"/>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责任限制过度/对委托方不公</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：约定由乙方（受托方）所在地法院管辖，当发生数据泄露等纠纷时，将极大增加甲方维权的地理和法律成本。</w:t>
      </w:r>
    </w:p>
    <w:p>
      <w:pPr>
        <w:numPr>
          <w:numId w:val="16"/>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：《民法典》第四百九十七条关于格式条款无效的规定（提供格式条款一方不合理地加重对方责任、排除对方主要权利）。</w:t>
      </w:r>
    </w:p>
    <w:p>
      <w:pPr>
        <w:numPr>
          <w:numId w:val="17"/>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：修改为“向</w:t>
      </w:r>
      <w:r>
        <w:rPr>
          <w:rFonts w:eastAsia="等线" w:ascii="Arial" w:cs="Arial" w:hAnsi="Arial"/>
          <w:b w:val="true"/>
          <w:sz w:val="22"/>
        </w:rPr>
        <w:t>甲方所在地</w:t>
      </w:r>
      <w:r>
        <w:rPr>
          <w:rFonts w:eastAsia="等线" w:ascii="Arial" w:cs="Arial" w:hAnsi="Arial"/>
          <w:sz w:val="22"/>
        </w:rPr>
        <w:t>人民法院起诉”或“向</w:t>
      </w:r>
      <w:r>
        <w:rPr>
          <w:rFonts w:eastAsia="等线" w:ascii="Arial" w:cs="Arial" w:hAnsi="Arial"/>
          <w:b w:val="true"/>
          <w:sz w:val="22"/>
        </w:rPr>
        <w:t>数据所在地（即甲方所在地）</w:t>
      </w:r>
      <w:r>
        <w:rPr>
          <w:rFonts w:eastAsia="等线" w:ascii="Arial" w:cs="Arial" w:hAnsi="Arial"/>
          <w:sz w:val="22"/>
        </w:rPr>
        <w:t xml:space="preserve"> 人民法院起诉”。</w:t>
      </w:r>
    </w:p>
    <w:p>
      <w:pPr>
        <w:numPr>
          <w:numId w:val="18"/>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：第四条，安全事件处置。</w:t>
      </w:r>
    </w:p>
    <w:p>
      <w:pPr>
        <w:numPr>
          <w:numId w:val="19"/>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定义模糊</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：“立即”、“及时”非法律明确时限，在发生安全事件时易产生争议，可能导致报告延误，违反《数据安全法》第二十九条（及时告知）的规定。</w:t>
      </w:r>
    </w:p>
    <w:p>
      <w:pPr>
        <w:numPr>
          <w:numId w:val="21"/>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：《数据安全法》第二十九条；《网络安全法》第二十五条。</w:t>
      </w:r>
    </w:p>
    <w:p>
      <w:pPr>
        <w:numPr>
          <w:numId w:val="22"/>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：明确具体时限，例如：“发生数据安全事件时，应当</w:t>
      </w:r>
      <w:r>
        <w:rPr>
          <w:rFonts w:eastAsia="等线" w:ascii="Arial" w:cs="Arial" w:hAnsi="Arial"/>
          <w:b w:val="true"/>
          <w:sz w:val="22"/>
        </w:rPr>
        <w:t>在发现后24小时内</w:t>
      </w:r>
      <w:r>
        <w:rPr>
          <w:rFonts w:eastAsia="等线" w:ascii="Arial" w:cs="Arial" w:hAnsi="Arial"/>
          <w:sz w:val="22"/>
        </w:rPr>
        <w:t>采取处置措施，并</w:t>
      </w:r>
      <w:r>
        <w:rPr>
          <w:rFonts w:eastAsia="等线" w:ascii="Arial" w:cs="Arial" w:hAnsi="Arial"/>
          <w:b w:val="true"/>
          <w:sz w:val="22"/>
        </w:rPr>
        <w:t>在48小时内</w:t>
      </w:r>
      <w:r>
        <w:rPr>
          <w:rFonts w:eastAsia="等线" w:ascii="Arial" w:cs="Arial" w:hAnsi="Arial"/>
          <w:sz w:val="22"/>
        </w:rPr>
        <w:t>告知甲方...”</w:t>
      </w:r>
    </w:p>
    <w:p>
      <w:pPr>
        <w:pStyle w:val="3"/>
        <w:spacing w:before="300" w:after="120" w:line="288" w:lineRule="auto"/>
        <w:ind w:left="0"/>
        <w:jc w:val="left"/>
        <w:outlineLvl w:val="2"/>
      </w:pPr>
      <w:bookmarkStart w:name="heading_1" w:id="1"/>
      <w:r>
        <w:rPr>
          <w:rFonts w:eastAsia="等线" w:ascii="Arial" w:cs="Arial" w:hAnsi="Arial"/>
          <w:b w:val="true"/>
          <w:sz w:val="30"/>
        </w:rPr>
        <w:t xml:space="preserve">测试案例二：审查《数据委托处理服务合同》（涉及出境，但条款不完整） </w:t>
      </w:r>
      <w:bookmarkEnd w:id="1"/>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：“智选电商”（委托方）委托“数海科技有限公司”（受托方）进行用户行为数据分析，合同显示数据处理涉及将部分数据传至受托方位于香港的服务器。</w:t>
      </w:r>
    </w:p>
    <w:p>
      <w:pPr>
        <w:spacing w:before="120" w:after="120" w:line="288" w:lineRule="auto"/>
        <w:ind w:left="0"/>
        <w:jc w:val="left"/>
      </w:pPr>
      <w:r>
        <w:rPr>
          <w:rFonts w:eastAsia="等线" w:ascii="Arial" w:cs="Arial" w:hAnsi="Arial"/>
          <w:b w:val="true"/>
          <w:sz w:val="22"/>
        </w:rPr>
        <w:t>提交审查的文档全文</w:t>
      </w:r>
      <w:r>
        <w:rPr>
          <w:rFonts w:eastAsia="等线" w:ascii="Arial" w:cs="Arial" w:hAnsi="Arial"/>
          <w:sz w:val="22"/>
        </w:rPr>
        <w:t>：</w:t>
      </w:r>
    </w:p>
    <w:p>
      <w:pPr>
        <w:spacing w:before="120" w:after="120" w:line="288" w:lineRule="auto"/>
        <w:ind w:left="0"/>
        <w:jc w:val="left"/>
      </w:pPr>
      <w:r>
        <w:rPr>
          <w:rFonts w:eastAsia="等线" w:ascii="Arial" w:cs="Arial" w:hAnsi="Arial"/>
          <w:sz w:val="22"/>
        </w:rPr>
        <w:t>（基于GF-2025-2616示范文本填充，仅展示关键条款）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数据委托处理服务合同</w:t>
              <w:br/>
              <w:br/>
              <w:t>甲方(委托方): 智选电商有限公司</w:t>
              <w:br/>
              <w:t>乙方(受托方): 数海科技有限公司</w:t>
              <w:br/>
              <w:t>...</w:t>
              <w:br/>
              <w:t>第一条 原始数据描述</w:t>
              <w:br/>
              <w:t>甲方按照如下范围和规则向乙方提供原始数据:</w:t>
              <w:br/>
              <w:t>数据名称: 用户匿名化行为日志</w:t>
              <w:br/>
              <w:t>数据内容: 脱敏后的用户ID、商品浏览记录、页面停留时长、设备类型。</w:t>
              <w:br/>
              <w:t>数据规模: 约500GB/月</w:t>
              <w:br/>
              <w:t>数据来源: 甲方电商平台自有收集。</w:t>
              <w:br/>
              <w:br/>
              <w:t>第二条 结果数据</w:t>
              <w:br/>
              <w:t>1. 乙方应当通过以下第(3)种方式加工形成结果数据。(3)数据分析，通过特定的技术和方法，对数据进行整理、研究、推理和概括总结，从数据中提取有用信息、发现规律、形成结论。</w:t>
              <w:br/>
              <w:t>2. ...（略）</w:t>
              <w:br/>
              <w:br/>
              <w:t>第四条 甲乙双方义务</w:t>
              <w:br/>
              <w:t>...（略）</w:t>
              <w:br/>
              <w:t>9. ...（略）</w:t>
              <w:br/>
              <w:t>10. 乙方应在合同终止后，根据甲方的以下指示处置数据：**在90日内完成数据销毁，并提供销毁证明**。</w:t>
              <w:br/>
              <w:br/>
              <w:t>第十三条 保密要求</w:t>
              <w:br/>
              <w:t>...（略）</w:t>
              <w:br/>
              <w:br/>
              <w:t>第十四条 数据安全要求</w:t>
              <w:br/>
              <w:t>1. 各方应当严格依据《中华人民共和国数据安全法》《中华人民共和国个人信息保护法》《中华人民共和国网络安全法》《网络数据安全管理条例》以及其他相关法律法规处理原始数据、过程数据、结果数据。</w:t>
              <w:br/>
              <w:t>2. 各方均应采取必要的技术和管理措施，保障数据安全，防止数据泄露、丢失或被非法访问。在发生数据泄露或其他安全事件时，当事人应立即采取补救措施，减轻损害后果，并及时向相对方通报事件详情和所采取的应急措施。</w:t>
              <w:br/>
              <w:t>3. 本合同项下数据委托处理过程涉及跨境传输的，应依照数据跨境流动相关法律法规或政策规定办理，各方负有相互配合的义务。**双方确认，乙方为完成本合同项下数据分析，需将部分中间过程数据临时传输至其位于香港的数据中心进行运算，相关跨境传输活动由乙方负责依照中国法律完成合规手续。**</w:t>
              <w:br/>
              <w:br/>
              <w:t>第十五条 违约责任</w:t>
              <w:br/>
              <w:t>...（略）</w:t>
              <w:br/>
              <w:br/>
              <w:t>第十七条 争议解决</w:t>
              <w:br/>
            </w:r>
            <w:r>
              <w:rPr>
                <w:rFonts w:eastAsia="Consolas" w:ascii="Consolas" w:cs="Consolas" w:hAnsi="Consolas"/>
                <w:sz w:val="22"/>
              </w:rPr>
              <w:t>...（略）</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23"/>
        </w:numPr>
        <w:spacing w:before="120" w:after="120" w:line="288" w:lineRule="auto"/>
        <w:ind w:left="0"/>
        <w:jc w:val="left"/>
      </w:pPr>
      <w:r>
        <w:rPr>
          <w:rFonts w:eastAsia="等线" w:ascii="Arial" w:cs="Arial" w:hAnsi="Arial"/>
          <w:b w:val="true"/>
          <w:sz w:val="22"/>
        </w:rPr>
        <w:t>数据跨境条款过于简单且责任错配</w:t>
      </w:r>
      <w:r>
        <w:rPr>
          <w:rFonts w:eastAsia="等线" w:ascii="Arial" w:cs="Arial" w:hAnsi="Arial"/>
          <w:sz w:val="22"/>
        </w:rPr>
        <w:t>：第十四条第3款承认涉及数据出境，但将合规义务完全推给乙方（“由乙方负责...完成合规手续”）。根据中国法律，</w:t>
      </w:r>
      <w:r>
        <w:rPr>
          <w:rFonts w:eastAsia="等线" w:ascii="Arial" w:cs="Arial" w:hAnsi="Arial"/>
          <w:b w:val="true"/>
          <w:sz w:val="22"/>
        </w:rPr>
        <w:t>个人信息处理者（甲方）</w:t>
      </w:r>
      <w:r>
        <w:rPr>
          <w:rFonts w:eastAsia="等线" w:ascii="Arial" w:cs="Arial" w:hAnsi="Arial"/>
          <w:sz w:val="22"/>
        </w:rPr>
        <w:t xml:space="preserve"> 是数据出境合规的第一责任人，此约定无法免除甲方的法定责任。</w:t>
      </w:r>
    </w:p>
    <w:p>
      <w:pPr>
        <w:numPr>
          <w:numId w:val="24"/>
        </w:numPr>
        <w:spacing w:before="120" w:after="120" w:line="288" w:lineRule="auto"/>
        <w:ind w:left="0"/>
        <w:jc w:val="left"/>
      </w:pPr>
      <w:r>
        <w:rPr>
          <w:rFonts w:eastAsia="等线" w:ascii="Arial" w:cs="Arial" w:hAnsi="Arial"/>
          <w:b w:val="true"/>
          <w:sz w:val="22"/>
        </w:rPr>
        <w:t>缺失关键数据出境合同条款</w:t>
      </w:r>
      <w:r>
        <w:rPr>
          <w:rFonts w:eastAsia="等线" w:ascii="Arial" w:cs="Arial" w:hAnsi="Arial"/>
          <w:sz w:val="22"/>
        </w:rPr>
        <w:t>：合同未包含《数据出境安全评估办法》第九条或《个人信息出境标准合同》要求的必备条款，如：境外保存地点和期限、限制境外接收方再转移、境外法律环境变化应对、个人信息主体权利保障途径等。</w:t>
      </w:r>
    </w:p>
    <w:p>
      <w:pPr>
        <w:numPr>
          <w:numId w:val="25"/>
        </w:numPr>
        <w:spacing w:before="120" w:after="120" w:line="288" w:lineRule="auto"/>
        <w:ind w:left="0"/>
        <w:jc w:val="left"/>
      </w:pPr>
      <w:r>
        <w:rPr>
          <w:rFonts w:eastAsia="等线" w:ascii="Arial" w:cs="Arial" w:hAnsi="Arial"/>
          <w:b w:val="true"/>
          <w:sz w:val="22"/>
        </w:rPr>
        <w:t>数据描述模糊，可能包含个人信息</w:t>
      </w:r>
      <w:r>
        <w:rPr>
          <w:rFonts w:eastAsia="等线" w:ascii="Arial" w:cs="Arial" w:hAnsi="Arial"/>
          <w:sz w:val="22"/>
        </w:rPr>
        <w:t>：第一条中“脱敏后的用户ID”描述不清，若脱敏不可逆则为匿名化信息，若可逆则为去标识化的个人信息，性质不同，合规要求天差地别。</w:t>
      </w:r>
    </w:p>
    <w:p>
      <w:pPr>
        <w:numPr>
          <w:numId w:val="26"/>
        </w:numPr>
        <w:spacing w:before="120" w:after="120" w:line="288" w:lineRule="auto"/>
        <w:ind w:left="0"/>
        <w:jc w:val="left"/>
      </w:pPr>
      <w:r>
        <w:rPr>
          <w:rFonts w:eastAsia="等线" w:ascii="Arial" w:cs="Arial" w:hAnsi="Arial"/>
          <w:b w:val="true"/>
          <w:sz w:val="22"/>
        </w:rPr>
        <w:t>数据销毁期限过长</w:t>
      </w:r>
      <w:r>
        <w:rPr>
          <w:rFonts w:eastAsia="等线" w:ascii="Arial" w:cs="Arial" w:hAnsi="Arial"/>
          <w:sz w:val="22"/>
        </w:rPr>
        <w:t>：第十条约定“90日内”销毁，对于个人信息而言期限过长，不符合“保存期限为实现处理目的所必要的最短时间”的原则。</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。合同涉及数据出境，但关键合规条款严重缺失，且将甲方（数据处理者）的法定责任不当转移给受托方。</w:t>
      </w:r>
    </w:p>
    <w:p>
      <w:pPr>
        <w:numPr>
          <w:numId w:val="28"/>
        </w:numPr>
        <w:spacing w:before="120" w:after="120" w:line="288" w:lineRule="auto"/>
        <w:ind w:left="0"/>
        <w:jc w:val="left"/>
      </w:pPr>
      <w:r>
        <w:rPr>
          <w:rFonts w:eastAsia="等线" w:ascii="Arial" w:cs="Arial" w:hAnsi="Arial"/>
          <w:b w:val="true"/>
          <w:sz w:val="22"/>
        </w:rPr>
        <w:t>条款级审查发现（部分示例）</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：第十四条第3款。</w:t>
      </w:r>
    </w:p>
    <w:p>
      <w:pPr>
        <w:numPr>
          <w:numId w:val="30"/>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与法规冲突/责任界定不清</w:t>
      </w:r>
      <w:r>
        <w:rPr>
          <w:rFonts w:eastAsia="等线" w:ascii="Arial" w:cs="Arial" w:hAnsi="Arial"/>
          <w:sz w:val="22"/>
        </w:rPr>
        <w:t>。</w:t>
      </w:r>
    </w:p>
    <w:p>
      <w:pPr>
        <w:numPr>
          <w:numId w:val="31"/>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：根据《个人信息保护法》第三十八条，向境外提供个人信息的</w:t>
      </w:r>
      <w:r>
        <w:rPr>
          <w:rFonts w:eastAsia="等线" w:ascii="Arial" w:cs="Arial" w:hAnsi="Arial"/>
          <w:b w:val="true"/>
          <w:sz w:val="22"/>
        </w:rPr>
        <w:t>个人信息处理者（甲方）</w:t>
      </w:r>
      <w:r>
        <w:rPr>
          <w:rFonts w:eastAsia="等线" w:ascii="Arial" w:cs="Arial" w:hAnsi="Arial"/>
          <w:sz w:val="22"/>
        </w:rPr>
        <w:t xml:space="preserve"> 负有确保出境活动合规的法定义务（如进行安全评估、订立标准合同等）。本条款试图将全部合规责任转移给乙方，该约定对外（对监管机构和个人信息主体）不能免除甲方的法律责任。甲方仍需承担违规出境的行政、民事甚至刑事责任。</w:t>
      </w:r>
    </w:p>
    <w:p>
      <w:pPr>
        <w:numPr>
          <w:numId w:val="32"/>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：《个人信息保护法》第三十八条；《数据出境安全评估办法》第四条。</w:t>
      </w:r>
    </w:p>
    <w:p>
      <w:pPr>
        <w:numPr>
          <w:numId w:val="33"/>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删除“相关跨境传输活动由乙方负责...”的表述。改为：“双方确认，数据处理活动涉及将数据提供至中华人民共和国境外。甲方作为个人信息处理者，应负责根据中国法律法规要求，完成数据出境安全评估、订立标准合同或通过保护认证等合规手续。乙方应提供必要的信息与配合。未经甲方事先书面同意，乙方不得将数据向其他境外实体提供。”</w:t>
      </w:r>
    </w:p>
    <w:p>
      <w:pPr>
        <w:numPr>
          <w:numId w:val="34"/>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：全局性缺失。</w:t>
      </w:r>
    </w:p>
    <w:p>
      <w:pPr>
        <w:numPr>
          <w:numId w:val="35"/>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缺失条款（多项）</w:t>
      </w:r>
      <w:r>
        <w:rPr>
          <w:rFonts w:eastAsia="等线" w:ascii="Arial" w:cs="Arial" w:hAnsi="Arial"/>
          <w:sz w:val="22"/>
        </w:rPr>
        <w:t>。</w:t>
      </w:r>
    </w:p>
    <w:p>
      <w:pPr>
        <w:numPr>
          <w:numId w:val="36"/>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：合同缺少数据出境场景下的核心保护条款，无法满足监管要求，也无法有效约束境外接收方、保障个人信息权益。</w:t>
      </w:r>
    </w:p>
    <w:p>
      <w:pPr>
        <w:numPr>
          <w:numId w:val="37"/>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：《数据出境安全评估办法》第九条（六项必备条款）；《个人信息出境标准合同》第二条、第三条。</w:t>
      </w:r>
    </w:p>
    <w:p>
      <w:pPr>
        <w:numPr>
          <w:numId w:val="38"/>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：建议就数据出境事宜另行签订《个人信息出境标准合同》，或将标准合同的必备条款作为本合同的补充附件。</w:t>
      </w:r>
    </w:p>
    <w:p>
      <w:pPr>
        <w:pStyle w:val="3"/>
        <w:spacing w:before="300" w:after="120" w:line="288" w:lineRule="auto"/>
        <w:ind w:left="0"/>
        <w:jc w:val="left"/>
        <w:outlineLvl w:val="2"/>
      </w:pPr>
      <w:bookmarkStart w:name="heading_2" w:id="2"/>
      <w:r>
        <w:rPr>
          <w:rFonts w:eastAsia="等线" w:ascii="Arial" w:cs="Arial" w:hAnsi="Arial"/>
          <w:b w:val="true"/>
          <w:sz w:val="30"/>
        </w:rPr>
        <w:t xml:space="preserve">测试案例三：审查《个人信息出境标准合同》（填写不规范，附录二存在不当修改） </w:t>
      </w:r>
      <w:bookmarkEnd w:id="2"/>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：“快行出行”（个人信息处理者，中国公司）向其境外关联公司“FastGo International Ltd.”（境外接收方，注册于开曼群岛）提供用户订单数据，用于集团业务分析。双方签署了《个人信息出境标准合同》，但填写存在诸多问题。</w:t>
      </w:r>
    </w:p>
    <w:p>
      <w:pPr>
        <w:spacing w:before="120" w:after="120" w:line="288" w:lineRule="auto"/>
        <w:ind w:left="0"/>
        <w:jc w:val="left"/>
      </w:pPr>
      <w:r>
        <w:rPr>
          <w:rFonts w:eastAsia="等线" w:ascii="Arial" w:cs="Arial" w:hAnsi="Arial"/>
          <w:b w:val="true"/>
          <w:sz w:val="22"/>
        </w:rPr>
        <w:t>提交审查的文档全文</w:t>
      </w:r>
      <w:r>
        <w:rPr>
          <w:rFonts w:eastAsia="等线" w:ascii="Arial" w:cs="Arial" w:hAnsi="Arial"/>
          <w:sz w:val="22"/>
        </w:rPr>
        <w:t>：</w:t>
      </w:r>
    </w:p>
    <w:p>
      <w:pPr>
        <w:spacing w:before="120" w:after="120" w:line="288" w:lineRule="auto"/>
        <w:ind w:left="0"/>
        <w:jc w:val="left"/>
      </w:pPr>
      <w:r>
        <w:rPr>
          <w:rFonts w:eastAsia="等线" w:ascii="Arial" w:cs="Arial" w:hAnsi="Arial"/>
          <w:sz w:val="22"/>
        </w:rPr>
        <w:t>（基于模板填充，仅展示问题部分）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个人信息出境标准合同</w:t>
              <w:br/>
              <w:t>...</w:t>
              <w:br/>
              <w:t>附录一</w:t>
              <w:br/>
              <w:t>个人信息出境说明</w:t>
              <w:br/>
              <w:t>根据本合同向境外提供个人信息的详情约定如下:</w:t>
              <w:br/>
              <w:t>(一)处理目的: **集团业务分析与决策支持**。</w:t>
              <w:br/>
              <w:t>(二)处理方式: **自动化处理、分析、存储**。</w:t>
              <w:br/>
              <w:t>(三)出境个人信息的规模: **约100万人/年**。</w:t>
              <w:br/>
              <w:t>(四)出境个人信息种类: **用户注册信息、订单记录、支付信息、行程轨迹**。</w:t>
              <w:br/>
              <w:t>(五)出境敏感个人信息种类: **行程轨迹、支付信息**。</w:t>
              <w:br/>
              <w:t>(六)境外接收方只向以下中华人民共和国境外第三方提供个人信息: **不适用**。</w:t>
              <w:br/>
              <w:t>(七)传输方式: **通过加密API接口传输**。</w:t>
              <w:br/>
              <w:t>(八)出境后保存期限: ( 2025年 1 月 1 日至 2030 年 12 月 31 日)</w:t>
              <w:br/>
              <w:t>(九)出境后保存地点: **开曼群岛数据中心、美国备份中心**。</w:t>
              <w:br/>
              <w:t>...</w:t>
              <w:br/>
              <w:br/>
              <w:t>附录二</w:t>
              <w:br/>
              <w:t>双方约定的其他条款</w:t>
              <w:br/>
              <w:t>1. 双方同意，本合同第九条第四项约定的争议解决方式为：诉讼。依法向**香港特别行政区**有管辖权的人民法院提起诉讼。</w:t>
              <w:br/>
              <w:t>2. 为保障商业效率，境外接收方在接到个人信息主体行使权利的请求时，可先进行初步审核，若认为请求明显无理由，可暂缓处理并通知个人信息处理者。</w:t>
              <w:br/>
              <w:t>3. 本合同项下任何一方对另一方的违约责任总额，不应超过引起该违约事由的数据处理服务所对应的年度合同总金额。</w:t>
              <w:br/>
            </w:r>
            <w:r>
              <w:rPr>
                <w:rFonts w:eastAsia="Consolas" w:ascii="Consolas" w:cs="Consolas" w:hAnsi="Consolas"/>
                <w:sz w:val="22"/>
              </w:rPr>
              <w:t>4. 本合同与双方于2025年1月1日签署的《集团数据共享主协议》冲突时，以《集团数据共享主协议》为准。</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b w:val="true"/>
          <w:sz w:val="22"/>
        </w:rPr>
        <w:t>附录一填写不具体、期限过长</w:t>
      </w:r>
      <w:r>
        <w:rPr>
          <w:rFonts w:eastAsia="等线" w:ascii="Arial" w:cs="Arial" w:hAnsi="Arial"/>
          <w:sz w:val="22"/>
        </w:rPr>
        <w:t>：</w:t>
      </w:r>
    </w:p>
    <w:p>
      <w:pPr>
        <w:numPr>
          <w:numId w:val="40"/>
        </w:numPr>
        <w:spacing w:before="120" w:after="120" w:line="288" w:lineRule="auto"/>
        <w:ind w:left="453"/>
        <w:jc w:val="left"/>
      </w:pPr>
      <w:r>
        <w:rPr>
          <w:rFonts w:eastAsia="等线" w:ascii="Arial" w:cs="Arial" w:hAnsi="Arial"/>
          <w:sz w:val="22"/>
        </w:rPr>
        <w:t>“处理目的”过于宽泛（“业务分析”）。</w:t>
      </w:r>
    </w:p>
    <w:p>
      <w:pPr>
        <w:numPr>
          <w:numId w:val="41"/>
        </w:numPr>
        <w:spacing w:before="120" w:after="120" w:line="288" w:lineRule="auto"/>
        <w:ind w:left="453"/>
        <w:jc w:val="left"/>
      </w:pPr>
      <w:r>
        <w:rPr>
          <w:rFonts w:eastAsia="等线" w:ascii="Arial" w:cs="Arial" w:hAnsi="Arial"/>
          <w:sz w:val="22"/>
        </w:rPr>
        <w:t>“出境个人信息种类”未参考GB/T 35273标准进行细化分类。</w:t>
      </w:r>
    </w:p>
    <w:p>
      <w:pPr>
        <w:numPr>
          <w:numId w:val="42"/>
        </w:numPr>
        <w:spacing w:before="120" w:after="120" w:line="288" w:lineRule="auto"/>
        <w:ind w:left="453"/>
        <w:jc w:val="left"/>
      </w:pPr>
      <w:r>
        <w:rPr>
          <w:rFonts w:eastAsia="等线" w:ascii="Arial" w:cs="Arial" w:hAnsi="Arial"/>
          <w:sz w:val="22"/>
        </w:rPr>
        <w:t>“出境后保存期限”长达6年，未论证其“最短必要时间”。</w:t>
      </w:r>
    </w:p>
    <w:p>
      <w:pPr>
        <w:numPr>
          <w:numId w:val="43"/>
        </w:numPr>
        <w:spacing w:before="120" w:after="120" w:line="288" w:lineRule="auto"/>
        <w:ind w:left="453"/>
        <w:jc w:val="left"/>
      </w:pPr>
      <w:r>
        <w:rPr>
          <w:rFonts w:eastAsia="等线" w:ascii="Arial" w:cs="Arial" w:hAnsi="Arial"/>
          <w:sz w:val="22"/>
        </w:rPr>
        <w:t>“保存地点”包含美国，但未评估该国法律政策对合同履行的影响（第四条要求）。</w:t>
      </w:r>
    </w:p>
    <w:p>
      <w:pPr>
        <w:numPr>
          <w:numId w:val="44"/>
        </w:numPr>
        <w:spacing w:before="120" w:after="120" w:line="288" w:lineRule="auto"/>
        <w:ind w:left="0"/>
        <w:jc w:val="left"/>
      </w:pPr>
      <w:r>
        <w:rPr>
          <w:rFonts w:eastAsia="等线" w:ascii="Arial" w:cs="Arial" w:hAnsi="Arial"/>
          <w:b w:val="true"/>
          <w:sz w:val="22"/>
        </w:rPr>
        <w:t>附录二条款与标准合同正文冲突或减损主体权利</w:t>
      </w:r>
      <w:r>
        <w:rPr>
          <w:rFonts w:eastAsia="等线" w:ascii="Arial" w:cs="Arial" w:hAnsi="Arial"/>
          <w:sz w:val="22"/>
        </w:rPr>
        <w:t>：</w:t>
      </w:r>
    </w:p>
    <w:p>
      <w:pPr>
        <w:numPr>
          <w:numId w:val="45"/>
        </w:numPr>
        <w:spacing w:before="120" w:after="120" w:line="288" w:lineRule="auto"/>
        <w:ind w:left="453"/>
        <w:jc w:val="left"/>
      </w:pPr>
      <w:r>
        <w:rPr>
          <w:rFonts w:eastAsia="等线" w:ascii="Arial" w:cs="Arial" w:hAnsi="Arial"/>
          <w:sz w:val="22"/>
        </w:rPr>
        <w:t>第1条：将争议解决法院改为“香港法院”，与标准合同第九条第四项提供的选项（中国内地法院或仲裁）冲突，且可能违反《个人信息出境标准合同办法》关于合同不得与必备条款冲突的规定。</w:t>
      </w:r>
    </w:p>
    <w:p>
      <w:pPr>
        <w:numPr>
          <w:numId w:val="46"/>
        </w:numPr>
        <w:spacing w:before="120" w:after="120" w:line="288" w:lineRule="auto"/>
        <w:ind w:left="453"/>
        <w:jc w:val="left"/>
      </w:pPr>
      <w:r>
        <w:rPr>
          <w:rFonts w:eastAsia="等线" w:ascii="Arial" w:cs="Arial" w:hAnsi="Arial"/>
          <w:sz w:val="22"/>
        </w:rPr>
        <w:t>第2条：变相为境外接收方设定了“审核并暂缓处理”个人信息主体请求的权利，实质上限制了个人信息主体依据第五条享有的权利，与标准合同精神相悖。</w:t>
      </w:r>
    </w:p>
    <w:p>
      <w:pPr>
        <w:numPr>
          <w:numId w:val="47"/>
        </w:numPr>
        <w:spacing w:before="120" w:after="120" w:line="288" w:lineRule="auto"/>
        <w:ind w:left="453"/>
        <w:jc w:val="left"/>
      </w:pPr>
      <w:r>
        <w:rPr>
          <w:rFonts w:eastAsia="等线" w:ascii="Arial" w:cs="Arial" w:hAnsi="Arial"/>
          <w:sz w:val="22"/>
        </w:rPr>
        <w:t>第3条：设置了责任限额，可能无法充分补偿个人信息主体因个人信息侵权所遭受的损失，与标准合同第八条（违约责任）保障个人权益的意图不符。</w:t>
      </w:r>
    </w:p>
    <w:p>
      <w:pPr>
        <w:numPr>
          <w:numId w:val="48"/>
        </w:numPr>
        <w:spacing w:before="120" w:after="120" w:line="288" w:lineRule="auto"/>
        <w:ind w:left="453"/>
        <w:jc w:val="left"/>
      </w:pPr>
      <w:r>
        <w:rPr>
          <w:rFonts w:eastAsia="等线" w:ascii="Arial" w:cs="Arial" w:hAnsi="Arial"/>
          <w:sz w:val="22"/>
        </w:rPr>
        <w:t>第4条：约定其他协议优先，可能导致标准合同的保护条款被架空。</w:t>
      </w:r>
    </w:p>
    <w:p>
      <w:pPr>
        <w:numPr>
          <w:numId w:val="49"/>
        </w:numPr>
        <w:spacing w:before="120" w:after="120" w:line="288" w:lineRule="auto"/>
        <w:ind w:left="0"/>
        <w:jc w:val="left"/>
      </w:pPr>
      <w:r>
        <w:rPr>
          <w:rFonts w:eastAsia="等线" w:ascii="Arial" w:cs="Arial" w:hAnsi="Arial"/>
          <w:b w:val="true"/>
          <w:sz w:val="22"/>
        </w:rPr>
        <w:t>未明确技术和管理措施</w:t>
      </w:r>
      <w:r>
        <w:rPr>
          <w:rFonts w:eastAsia="等线" w:ascii="Arial" w:cs="Arial" w:hAnsi="Arial"/>
          <w:sz w:val="22"/>
        </w:rPr>
        <w:t>：合同正文第二条第五项要求约定技术和管理措施，但双方未填写具体内容。</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50"/>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中高风险</w:t>
      </w:r>
      <w:r>
        <w:rPr>
          <w:rFonts w:eastAsia="等线" w:ascii="Arial" w:cs="Arial" w:hAnsi="Arial"/>
          <w:sz w:val="22"/>
        </w:rPr>
        <w:t>。合同采用了标准合同范本，但附录填写不完整、不准确，且附录二增加了多项与标准合同保护目的相悖、可能限制个人信息主体权利的条款，严重影响合同的合规性与有效性。</w:t>
      </w:r>
    </w:p>
    <w:p>
      <w:pPr>
        <w:numPr>
          <w:numId w:val="51"/>
        </w:numPr>
        <w:spacing w:before="120" w:after="120" w:line="288" w:lineRule="auto"/>
        <w:ind w:left="0"/>
        <w:jc w:val="left"/>
      </w:pPr>
      <w:r>
        <w:rPr>
          <w:rFonts w:eastAsia="等线" w:ascii="Arial" w:cs="Arial" w:hAnsi="Arial"/>
          <w:b w:val="true"/>
          <w:sz w:val="22"/>
        </w:rPr>
        <w:t>条款级审查发现（部分示例）</w:t>
      </w:r>
      <w:r>
        <w:rPr>
          <w:rFonts w:eastAsia="等线" w:ascii="Arial" w:cs="Arial" w:hAnsi="Arial"/>
          <w:sz w:val="22"/>
        </w:rPr>
        <w:t>：</w:t>
      </w:r>
    </w:p>
    <w:p>
      <w:pPr>
        <w:numPr>
          <w:numId w:val="52"/>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：附录二，第1条。</w:t>
      </w:r>
    </w:p>
    <w:p>
      <w:pPr>
        <w:numPr>
          <w:numId w:val="53"/>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与法规冲突/无效条款</w:t>
      </w:r>
      <w:r>
        <w:rPr>
          <w:rFonts w:eastAsia="等线" w:ascii="Arial" w:cs="Arial" w:hAnsi="Arial"/>
          <w:sz w:val="22"/>
        </w:rPr>
        <w:t>。</w:t>
      </w:r>
    </w:p>
    <w:p>
      <w:pPr>
        <w:numPr>
          <w:numId w:val="54"/>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：该约定擅自修改了标准合同第九条第四项提供的争议解决选项。根据《个人信息出境标准合同办法》第五条，标准合同条款为</w:t>
      </w:r>
      <w:r>
        <w:rPr>
          <w:rFonts w:eastAsia="等线" w:ascii="Arial" w:cs="Arial" w:hAnsi="Arial"/>
          <w:b w:val="true"/>
          <w:sz w:val="22"/>
        </w:rPr>
        <w:t>必备条款</w:t>
      </w:r>
      <w:r>
        <w:rPr>
          <w:rFonts w:eastAsia="等线" w:ascii="Arial" w:cs="Arial" w:hAnsi="Arial"/>
          <w:sz w:val="22"/>
        </w:rPr>
        <w:t>，个人信息处理者和境外接收方</w:t>
      </w:r>
      <w:r>
        <w:rPr>
          <w:rFonts w:eastAsia="等线" w:ascii="Arial" w:cs="Arial" w:hAnsi="Arial"/>
          <w:b w:val="true"/>
          <w:sz w:val="22"/>
        </w:rPr>
        <w:t>不得通过约定排除适用</w:t>
      </w:r>
      <w:r>
        <w:rPr>
          <w:rFonts w:eastAsia="等线" w:ascii="Arial" w:cs="Arial" w:hAnsi="Arial"/>
          <w:sz w:val="22"/>
        </w:rPr>
        <w:t>。约定香港法院管辖，可能导致中国个人信息主体维权困难，且该条款可能被认定为无效。</w:t>
      </w:r>
    </w:p>
    <w:p>
      <w:pPr>
        <w:numPr>
          <w:numId w:val="55"/>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：《个人信息出境标准合同办法》第五条、第九条。</w:t>
      </w:r>
    </w:p>
    <w:p>
      <w:pPr>
        <w:numPr>
          <w:numId w:val="56"/>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：删除此条，严格按照标准合同第九条第四项在正文中选择一种争议解决方式（建议选择向中华人民共和国有管辖权的人民法院提起诉讼）。</w:t>
      </w:r>
    </w:p>
    <w:p>
      <w:pPr>
        <w:numPr>
          <w:numId w:val="57"/>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：附录二，第2条。</w:t>
      </w:r>
    </w:p>
    <w:p>
      <w:pPr>
        <w:numPr>
          <w:numId w:val="58"/>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与实践不一致/减损主体权利</w:t>
      </w:r>
      <w:r>
        <w:rPr>
          <w:rFonts w:eastAsia="等线" w:ascii="Arial" w:cs="Arial" w:hAnsi="Arial"/>
          <w:sz w:val="22"/>
        </w:rPr>
        <w:t>。</w:t>
      </w:r>
    </w:p>
    <w:p>
      <w:pPr>
        <w:numPr>
          <w:numId w:val="59"/>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标准合同第五条规定了个人信息主体行使权利的途径和境外接收方的配合义务。此条款为境外接收方设置了“初步审核”和“暂缓处理”的前置程序，无法律依据，实质上是为境外接收方拒绝或拖延履行法定义务创造借口，侵害了个人信息主体的合法权益。</w:t>
      </w:r>
    </w:p>
    <w:p>
      <w:pPr>
        <w:numPr>
          <w:numId w:val="60"/>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：《个人信息保护法》第四十四条、第四十五条；《个人信息出境标准合同》第五条。</w:t>
      </w:r>
    </w:p>
    <w:p>
      <w:pPr>
        <w:numPr>
          <w:numId w:val="61"/>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：删除此条。境外接收方应按标准合同第五条规定，在合理期限内实现个人信息主体的权利请求。</w:t>
      </w:r>
    </w:p>
    <w:p>
      <w:pPr>
        <w:numPr>
          <w:numId w:val="62"/>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：附录一，（八）出境后保存期限。</w:t>
      </w:r>
    </w:p>
    <w:p>
      <w:pPr>
        <w:numPr>
          <w:numId w:val="63"/>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定义模糊/缺乏必要性论证</w:t>
      </w:r>
      <w:r>
        <w:rPr>
          <w:rFonts w:eastAsia="等线" w:ascii="Arial" w:cs="Arial" w:hAnsi="Arial"/>
          <w:sz w:val="22"/>
        </w:rPr>
        <w:t>。</w:t>
      </w:r>
    </w:p>
    <w:p>
      <w:pPr>
        <w:numPr>
          <w:numId w:val="64"/>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：保存期限“2025年1月1日至2030年12月31日”长达6年，未说明该期限是实现“集团业务分析”目的所必需的最短时间，不符合《个人信息保护法》第十九条及标准合同第三条第五项“最短时间”的要求。</w:t>
      </w:r>
    </w:p>
    <w:p>
      <w:pPr>
        <w:numPr>
          <w:numId w:val="65"/>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：《个人信息保护法》第十九条；《个人信息出境标准合同》第三条第五项。</w:t>
      </w:r>
    </w:p>
    <w:p>
      <w:pPr>
        <w:numPr>
          <w:numId w:val="66"/>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：重新评估并明确保存期限的必要性，例如：“自个人信息出境之日起3年，或至个人信息主体账户注销后6个月（以较早者为准）”。</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 xml:space="preserve">测试案例一：审查《数据安全及保密协议》（境内项目，但数据可能被受托方跨境传输） </w:t>
      </w:r>
      <w:bookmarkEnd w:id="3"/>
    </w:p>
    <w:p>
      <w:pPr>
        <w:spacing w:before="120" w:after="120" w:line="288" w:lineRule="auto"/>
        <w:ind w:left="0"/>
        <w:jc w:val="left"/>
      </w:pPr>
      <w:r>
        <w:rPr>
          <w:rFonts w:eastAsia="等线" w:ascii="Arial" w:cs="Arial" w:hAnsi="Arial"/>
          <w:b w:val="true"/>
          <w:sz w:val="22"/>
        </w:rPr>
        <w:t>场景描述</w:t>
      </w:r>
      <w:r>
        <w:rPr>
          <w:rFonts w:eastAsia="等线" w:ascii="Arial" w:cs="Arial" w:hAnsi="Arial"/>
          <w:sz w:val="22"/>
        </w:rPr>
        <w:t>：金陵科技学院（甲方）委托“智云数据科技有限公司”（乙方）进行“学生心理健康数据分析平台”的开发与运维。协议本身是境内项目协议，但乙方作为跨国公司，其开发团队和测试服务器部分位于境外。</w:t>
      </w:r>
    </w:p>
    <w:p>
      <w:pPr>
        <w:spacing w:before="120" w:after="120" w:line="288" w:lineRule="auto"/>
        <w:ind w:left="0"/>
        <w:jc w:val="left"/>
      </w:pPr>
      <w:r>
        <w:rPr>
          <w:rFonts w:eastAsia="等线" w:ascii="Arial" w:cs="Arial" w:hAnsi="Arial"/>
          <w:b w:val="true"/>
          <w:sz w:val="22"/>
        </w:rPr>
        <w:t>提交审查的文档全文</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金陵科技学院学生心理健康数据分析平台项目数据安全及保密协议</w:t>
              <w:br/>
              <w:br/>
              <w:t>甲方: 金陵科技学院学生工作处</w:t>
              <w:br/>
              <w:t>地址: 南京市江宁区弘景大道99号</w:t>
              <w:br/>
              <w:t>邮编: 211169</w:t>
              <w:br/>
              <w:t>电话: 025-86188586</w:t>
              <w:br/>
              <w:t>乙方: 智云数据科技有限公司</w:t>
              <w:br/>
              <w:t>地址: 北京市海淀区中关村软件园XX号</w:t>
              <w:br/>
              <w:t>邮编: 100193</w:t>
              <w:br/>
              <w:t>电话: 010-62658888</w:t>
              <w:br/>
              <w:br/>
              <w:t>甲方作为金陵科技学院学生心理健康数据分析平台项目的建设方，有责任确保项目涉及的学生数据安全。乙方因承担本项目开发与运维工作需要，在数据处理过程中，应采取相应的技术措施和其他必要措施，保障数据安全，确保数据不被泄漏或损坏。依据《中华人民共和国数据安全法》，立约双方本着公平自愿的原则，签订下列条款共同遵守:</w:t>
              <w:br/>
              <w:br/>
              <w:t>第一条 本协议所称数据，是指任何以电子或者其他方式对涉及金陵科技学院学生心理健康相关的信息记录，包括但不限于：心理测评量表结果、在线咨询记录（经匿名化处理）、学生基本学籍信息（姓名、学号、学院、年级）。数据处理，包括数据的收集、存储、使用、加工、传输、提供、公开等。数据安全，是指通过采取必要措施，确保数据处于有效保护和合法利用的状态，以及具备保障持续安全状态的能力。</w:t>
              <w:br/>
              <w:br/>
              <w:t>第二条: 前条所述“数据”不含下列:</w:t>
              <w:br/>
              <w:t>甲方事先以书面明示同意的不予保密的资料、信息等;</w:t>
              <w:br/>
              <w:br/>
              <w:t>第三条: 甲乙双方同意就本协议应保密的“数据”，乙方应当依照法律、法规的规定和合同约定履行数据安全保护义务,不得擅自留存、使用、泄露或者向他人提供数据。因乙方受雇人、使用人、代理人、受任人泄露数据者,均应视为乙方的行为,由乙方与该行为人连带负担本协议所定的一切责任;</w:t>
              <w:br/>
              <w:br/>
              <w:t>第四条: 如果乙方依照法律程序被要求披露数据,则应第一时间通知甲方使甲方可能寻求保护措施或至其他救济方式。乙方开展数据处理活动应当加强风险监测，发现数据安全缺陷、漏洞等风险时，应当立即采取补救措施;发生数据安全事件时,应当立即采取处置措施,按照规定及时告知甲方并向有关主管部门报告。</w:t>
              <w:br/>
              <w:br/>
              <w:t>第五条: 乙方服务完成或终止后，应立即返还所有甲方提供的“数据”,或者按照甲方的指示对相关材料进行销毁或处理。</w:t>
              <w:br/>
              <w:br/>
              <w:t>第六条: 本协议的订立、解释和履行适用中华人民共和国法律。因履行本协议产生的争议,双方应友好协商解决。协议不成,任何一方可向甲方所在地人民法院起诉。</w:t>
              <w:br/>
              <w:br/>
              <w:t>本协议壹式贰份,经双方签字盖章后生效,由双方各执一份为凭。</w:t>
              <w:br/>
              <w:br/>
              <w:t>甲方: 金陵科技学院学生工作处       乙方: 智云数据科技有限公司</w:t>
              <w:br/>
              <w:t>责任人: 王主任                    责任人: 赵总监</w:t>
              <w:br/>
              <w:t>(盖章):                           (盖章):</w:t>
              <w:br/>
            </w:r>
            <w:r>
              <w:rPr>
                <w:rFonts w:eastAsia="Consolas" w:ascii="Consolas" w:cs="Consolas" w:hAnsi="Consolas"/>
                <w:sz w:val="22"/>
              </w:rPr>
              <w:t>日期: 2025年11月1日               日期: 2025年11月1日</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b w:val="true"/>
          <w:sz w:val="22"/>
        </w:rPr>
        <w:t>数据范围包含敏感个人信息但未特殊保护</w:t>
      </w:r>
      <w:r>
        <w:rPr>
          <w:rFonts w:eastAsia="等线" w:ascii="Arial" w:cs="Arial" w:hAnsi="Arial"/>
          <w:sz w:val="22"/>
        </w:rPr>
        <w:t>：第一条明确包含“心理测评量表结果”，这属于《个人信息保护法》第二十八条定义的“医疗健康”类敏感个人信息，但协议全文未设置任何针对敏感个人信息的增强保护义务。</w:t>
      </w:r>
    </w:p>
    <w:p>
      <w:pPr>
        <w:numPr>
          <w:numId w:val="68"/>
        </w:numPr>
        <w:spacing w:before="120" w:after="120" w:line="288" w:lineRule="auto"/>
        <w:ind w:left="0"/>
        <w:jc w:val="left"/>
      </w:pPr>
      <w:r>
        <w:rPr>
          <w:rFonts w:eastAsia="等线" w:ascii="Arial" w:cs="Arial" w:hAnsi="Arial"/>
          <w:b w:val="true"/>
          <w:sz w:val="22"/>
        </w:rPr>
        <w:t>数据处理活动范围不明确，隐含跨境风险</w:t>
      </w:r>
      <w:r>
        <w:rPr>
          <w:rFonts w:eastAsia="等线" w:ascii="Arial" w:cs="Arial" w:hAnsi="Arial"/>
          <w:sz w:val="22"/>
        </w:rPr>
        <w:t>：协议未约定数据处理的具体地点和人员范围。若乙方为降低成本，将部分开发、测试或运维工作委托给其境外子公司或团队，则可能导致数据实际出境，但协议无任何约束。</w:t>
      </w:r>
    </w:p>
    <w:p>
      <w:pPr>
        <w:numPr>
          <w:numId w:val="69"/>
        </w:numPr>
        <w:spacing w:before="120" w:after="120" w:line="288" w:lineRule="auto"/>
        <w:ind w:left="0"/>
        <w:jc w:val="left"/>
      </w:pPr>
      <w:r>
        <w:rPr>
          <w:rFonts w:eastAsia="等线" w:ascii="Arial" w:cs="Arial" w:hAnsi="Arial"/>
          <w:b w:val="true"/>
          <w:sz w:val="22"/>
        </w:rPr>
        <w:t>安全事件响应条款模糊</w:t>
      </w:r>
      <w:r>
        <w:rPr>
          <w:rFonts w:eastAsia="等线" w:ascii="Arial" w:cs="Arial" w:hAnsi="Arial"/>
          <w:sz w:val="22"/>
        </w:rPr>
        <w:t>：第四条中的“立即”、“及时”、“按照规定”均为模糊表述，未明确具体时限和报告流程，不符合《数据安全法》第二十九条的“及时告知”要求，实操性差。</w:t>
      </w:r>
    </w:p>
    <w:p>
      <w:pPr>
        <w:numPr>
          <w:numId w:val="70"/>
        </w:numPr>
        <w:spacing w:before="120" w:after="120" w:line="288" w:lineRule="auto"/>
        <w:ind w:left="0"/>
        <w:jc w:val="left"/>
      </w:pPr>
      <w:r>
        <w:rPr>
          <w:rFonts w:eastAsia="等线" w:ascii="Arial" w:cs="Arial" w:hAnsi="Arial"/>
          <w:b w:val="true"/>
          <w:sz w:val="22"/>
        </w:rPr>
        <w:t>数据销毁要求不具体</w:t>
      </w:r>
      <w:r>
        <w:rPr>
          <w:rFonts w:eastAsia="等线" w:ascii="Arial" w:cs="Arial" w:hAnsi="Arial"/>
          <w:sz w:val="22"/>
        </w:rPr>
        <w:t>：第五条仅要求“销毁或处理”，未规定销毁的具体标准（如物理粉碎、不可恢复的删除）、时间要求（如合同终止后多少天内）以及需提供的销毁证明。</w:t>
      </w:r>
    </w:p>
    <w:p>
      <w:pPr>
        <w:numPr>
          <w:numId w:val="71"/>
        </w:numPr>
        <w:spacing w:before="120" w:after="120" w:line="288" w:lineRule="auto"/>
        <w:ind w:left="0"/>
        <w:jc w:val="left"/>
      </w:pPr>
      <w:r>
        <w:rPr>
          <w:rFonts w:eastAsia="等线" w:ascii="Arial" w:cs="Arial" w:hAnsi="Arial"/>
          <w:b w:val="true"/>
          <w:sz w:val="22"/>
        </w:rPr>
        <w:t>缺失关键合规条款</w:t>
      </w:r>
      <w:r>
        <w:rPr>
          <w:rFonts w:eastAsia="等线" w:ascii="Arial" w:cs="Arial" w:hAnsi="Arial"/>
          <w:sz w:val="22"/>
        </w:rPr>
        <w:t>：完全缺失《数据安全法》、《个人信息保护法》要求的委托处理关系下的核心条款，如：委托处理的目的、期限、方式、个人信息的种类；乙方的保密义务；甲方对乙方的监督权利；乙方协助甲方响应个人信息主体请求的义务等。</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72"/>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。本协议作为数据委托处理协议，缺失大量《个人信息保护法》第二十一条规定的必要约定。特别是涉及敏感个人信息处理，但无特殊保护措施，且存在数据可能被乙方擅自转移出境的风险。</w:t>
      </w:r>
    </w:p>
    <w:p>
      <w:pPr>
        <w:numPr>
          <w:numId w:val="73"/>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74"/>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：第一条，数据定义。</w:t>
      </w:r>
    </w:p>
    <w:p>
      <w:pPr>
        <w:numPr>
          <w:numId w:val="75"/>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定义模糊/风险识别不足</w:t>
      </w:r>
      <w:r>
        <w:rPr>
          <w:rFonts w:eastAsia="等线" w:ascii="Arial" w:cs="Arial" w:hAnsi="Arial"/>
          <w:sz w:val="22"/>
        </w:rPr>
        <w:t>。</w:t>
      </w:r>
    </w:p>
    <w:p>
      <w:pPr>
        <w:numPr>
          <w:numId w:val="76"/>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明确包含“心理测评量表结果”，属于敏感个人信息。协议未区分一般个人信息与敏感个人信息，导致后续条款无法对敏感信息施加更严格的保护要求，违反《个人信息保护法》第二十八条、第三十二条关于处理敏感个人信息需取得单独同意并采取更严格保护措施的规定。</w:t>
      </w:r>
    </w:p>
    <w:p>
      <w:pPr>
        <w:numPr>
          <w:numId w:val="77"/>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：《个人信息保护法》第二十八条、第三十二条；GB/T 35273-2020《个人信息安全规范》第3.2条。</w:t>
      </w:r>
    </w:p>
    <w:p>
      <w:pPr>
        <w:numPr>
          <w:numId w:val="78"/>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：在第一条中明确列出敏感个人信息类型，并增加专门条款，约定对敏感个人信息需采取加密存储、访问权限单独审批、操作日志详细审计等增强保护措施。</w:t>
      </w:r>
    </w:p>
    <w:p>
      <w:pPr>
        <w:numPr>
          <w:numId w:val="79"/>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：全局性缺失。</w:t>
      </w:r>
    </w:p>
    <w:p>
      <w:pPr>
        <w:numPr>
          <w:numId w:val="80"/>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缺失条款（多项）</w:t>
      </w:r>
      <w:r>
        <w:rPr>
          <w:rFonts w:eastAsia="等线" w:ascii="Arial" w:cs="Arial" w:hAnsi="Arial"/>
          <w:sz w:val="22"/>
        </w:rPr>
        <w:t>。</w:t>
      </w:r>
    </w:p>
    <w:p>
      <w:pPr>
        <w:numPr>
          <w:numId w:val="81"/>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：协议未约定数据处理是否允许跨境、是否允许转委托。若乙方擅自将数据传输出境或转委托第三方，甲方将难以追责。这违反了委托处理关系中委托方应约束受托方行为的基本要求。</w:t>
      </w:r>
    </w:p>
    <w:p>
      <w:pPr>
        <w:numPr>
          <w:numId w:val="82"/>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：《个人信息保护法》第二十一条；《数据安全法》第三十三条（针对CIIO，但原则可参考）。</w:t>
      </w:r>
    </w:p>
    <w:p>
      <w:pPr>
        <w:numPr>
          <w:numId w:val="83"/>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增加条款：“未经甲方事先书面同意，乙方不得将本协议项下的任何数据处理活动转委托给任何第三方，亦不得将相关数据存储或传输至中华人民共和国境外。乙方需确保其所有参与项目的雇员、分包商均受到与本协议同等严格保密义务的约束。”</w:t>
      </w:r>
    </w:p>
    <w:p>
      <w:pPr>
        <w:pStyle w:val="3"/>
        <w:spacing w:before="300" w:after="120" w:line="288" w:lineRule="auto"/>
        <w:ind w:left="0"/>
        <w:jc w:val="left"/>
        <w:outlineLvl w:val="2"/>
      </w:pPr>
      <w:bookmarkStart w:name="heading_4" w:id="4"/>
      <w:r>
        <w:rPr>
          <w:rFonts w:eastAsia="等线" w:ascii="Arial" w:cs="Arial" w:hAnsi="Arial"/>
          <w:b w:val="true"/>
          <w:sz w:val="30"/>
        </w:rPr>
        <w:t xml:space="preserve">测试案例二：审查《数据委托处理服务合同》（明确涉及数据出境） </w:t>
      </w:r>
      <w:bookmarkEnd w:id="4"/>
    </w:p>
    <w:p>
      <w:pPr>
        <w:spacing w:before="120" w:after="120" w:line="288" w:lineRule="auto"/>
        <w:ind w:left="0"/>
        <w:jc w:val="left"/>
      </w:pPr>
      <w:r>
        <w:rPr>
          <w:rFonts w:eastAsia="等线" w:ascii="Arial" w:cs="Arial" w:hAnsi="Arial"/>
          <w:b w:val="true"/>
          <w:sz w:val="22"/>
        </w:rPr>
        <w:t>场景描述</w:t>
      </w:r>
      <w:r>
        <w:rPr>
          <w:rFonts w:eastAsia="等线" w:ascii="Arial" w:cs="Arial" w:hAnsi="Arial"/>
          <w:sz w:val="22"/>
        </w:rPr>
        <w:t>：“悦读APP”（委托方）委托“星瀚数据分析有限公司”（受托方）进行用户阅读偏好分析，合同明确受托方将使用其部署在“亚马逊云科技（新加坡区域）”的算法模型进行处理。</w:t>
      </w:r>
    </w:p>
    <w:p>
      <w:pPr>
        <w:spacing w:before="120" w:after="120" w:line="288" w:lineRule="auto"/>
        <w:ind w:left="0"/>
        <w:jc w:val="left"/>
      </w:pPr>
      <w:r>
        <w:rPr>
          <w:rFonts w:eastAsia="等线" w:ascii="Arial" w:cs="Arial" w:hAnsi="Arial"/>
          <w:b w:val="true"/>
          <w:sz w:val="22"/>
        </w:rPr>
        <w:t>提交审查的文档全文（关键条款节选）</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数据委托处理服务合同</w:t>
              <w:br/>
              <w:t>（基于GF-2025-2616示范文本）</w:t>
              <w:br/>
              <w:br/>
              <w:t>甲方(委托方): 悦读科技有限公司</w:t>
              <w:br/>
              <w:t>乙方(受托方): 星瀚数据分析有限公司</w:t>
              <w:br/>
              <w:t>...</w:t>
              <w:br/>
              <w:t>第一条 原始数据描述</w:t>
              <w:br/>
              <w:t>...数据名称: 用户阅读行为日志；数据内容: 用户ID（去标识化）、阅读书籍ID、阅读时长、评分、评论（已过滤个人信息）；数据规模: 约200万条/日；数据来源: 甲方APP...</w:t>
              <w:br/>
              <w:br/>
              <w:t>第二条 结果数据</w:t>
              <w:br/>
              <w:t>...乙方通过“数据分析”方式形成用户群体阅读偏好报告...</w:t>
              <w:br/>
              <w:br/>
              <w:t>第四条 甲乙双方义务</w:t>
              <w:br/>
              <w:t>...</w:t>
              <w:br/>
              <w:t>9. ...（略，同模板）</w:t>
              <w:br/>
              <w:t>10. 乙方应在合同终止后，根据甲方的以下指示处置数据：**在合同终止后30个工作日内，永久删除所有从甲方接收的原始数据及处理过程中产生的过程数据，并向甲方提供由乙方技术负责人签字确认的数据销毁证明**。</w:t>
              <w:br/>
              <w:br/>
              <w:t>第十三条 保密要求</w:t>
              <w:br/>
              <w:t>...（略）</w:t>
              <w:br/>
              <w:br/>
              <w:t>第十四条 数据安全要求</w:t>
              <w:br/>
              <w:t>1. 各方应当严格依据《中华人民共和国数据安全法》《中华人民共和国个人信息保护法》《中华人民共和国网络安全法》《网络数据安全管理条例》以及其他相关法律法规处理原始数据、过程数据、结果数据。</w:t>
              <w:br/>
              <w:t>2. ...（同模板）</w:t>
              <w:br/>
              <w:t>3. 本合同项下数据委托处理过程涉及跨境传输的，应依照数据跨境流动相关法律法规或政策规定办理，各方负有相互配合的义务。**双方确认，为执行本合同，乙方需将甲方提供的原始数据传至其位于新加坡的亚马逊云服务器进行计算分析，该等跨境传输行为已获得甲方同意。双方应共同确保该等传输符合中国数据出境相关法律法规。**</w:t>
              <w:br/>
              <w:br/>
              <w:t>第十五条 违约责任</w:t>
              <w:br/>
              <w:t>...（略）</w:t>
              <w:br/>
              <w:br/>
              <w:t>第十七条 争议解决</w:t>
              <w:br/>
            </w:r>
            <w:r>
              <w:rPr>
                <w:rFonts w:eastAsia="Consolas" w:ascii="Consolas" w:cs="Consolas" w:hAnsi="Consolas"/>
                <w:sz w:val="22"/>
              </w:rPr>
              <w:t>...（略）</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b w:val="true"/>
          <w:sz w:val="22"/>
        </w:rPr>
        <w:t>数据出境合规责任约定不清</w:t>
      </w:r>
      <w:r>
        <w:rPr>
          <w:rFonts w:eastAsia="等线" w:ascii="Arial" w:cs="Arial" w:hAnsi="Arial"/>
          <w:sz w:val="22"/>
        </w:rPr>
        <w:t>：第十四条第3款约定“双方应共同确保...符合中国数据出境相关法律法规”，责任主体模糊。根据中国法，</w:t>
      </w:r>
      <w:r>
        <w:rPr>
          <w:rFonts w:eastAsia="等线" w:ascii="Arial" w:cs="Arial" w:hAnsi="Arial"/>
          <w:b w:val="true"/>
          <w:sz w:val="22"/>
        </w:rPr>
        <w:t>甲方（个人信息处理者）</w:t>
      </w:r>
      <w:r>
        <w:rPr>
          <w:rFonts w:eastAsia="等线" w:ascii="Arial" w:cs="Arial" w:hAnsi="Arial"/>
          <w:sz w:val="22"/>
        </w:rPr>
        <w:t xml:space="preserve"> 是数据出境合规（如开展PIPIA、订立标准合同）的</w:t>
      </w:r>
      <w:r>
        <w:rPr>
          <w:rFonts w:eastAsia="等线" w:ascii="Arial" w:cs="Arial" w:hAnsi="Arial"/>
          <w:b w:val="true"/>
          <w:sz w:val="22"/>
        </w:rPr>
        <w:t>唯一法定责任主体</w:t>
      </w:r>
      <w:r>
        <w:rPr>
          <w:rFonts w:eastAsia="等线" w:ascii="Arial" w:cs="Arial" w:hAnsi="Arial"/>
          <w:sz w:val="22"/>
        </w:rPr>
        <w:t>。此条款可能导致甲方误以为责任可分担。</w:t>
      </w:r>
    </w:p>
    <w:p>
      <w:pPr>
        <w:numPr>
          <w:numId w:val="85"/>
        </w:numPr>
        <w:spacing w:before="120" w:after="120" w:line="288" w:lineRule="auto"/>
        <w:ind w:left="0"/>
        <w:jc w:val="left"/>
      </w:pPr>
      <w:r>
        <w:rPr>
          <w:rFonts w:eastAsia="等线" w:ascii="Arial" w:cs="Arial" w:hAnsi="Arial"/>
          <w:b w:val="true"/>
          <w:sz w:val="22"/>
        </w:rPr>
        <w:t>缺失数据出境必备合同条款</w:t>
      </w:r>
      <w:r>
        <w:rPr>
          <w:rFonts w:eastAsia="等线" w:ascii="Arial" w:cs="Arial" w:hAnsi="Arial"/>
          <w:sz w:val="22"/>
        </w:rPr>
        <w:t>：合同仅提及出境，但未包含任何《数据出境安全评估办法》第九条或《个人信息出境标准合同》中的核心保护条款，例如：境外保存地点、期限、再转移限制、境外法律环境变化应对、个人信息主体权利行使渠道等。</w:t>
      </w:r>
    </w:p>
    <w:p>
      <w:pPr>
        <w:numPr>
          <w:numId w:val="86"/>
        </w:numPr>
        <w:spacing w:before="120" w:after="120" w:line="288" w:lineRule="auto"/>
        <w:ind w:left="0"/>
        <w:jc w:val="left"/>
      </w:pPr>
      <w:r>
        <w:rPr>
          <w:rFonts w:eastAsia="等线" w:ascii="Arial" w:cs="Arial" w:hAnsi="Arial"/>
          <w:b w:val="true"/>
          <w:sz w:val="22"/>
        </w:rPr>
        <w:t>数据性质界定风险</w:t>
      </w:r>
      <w:r>
        <w:rPr>
          <w:rFonts w:eastAsia="等线" w:ascii="Arial" w:cs="Arial" w:hAnsi="Arial"/>
          <w:sz w:val="22"/>
        </w:rPr>
        <w:t>：第一条中“用户ID（去标识化）”描述不清。若采用的技术手段（如哈希加盐）可防止重识别，则为匿名化信息，出境限制较少；若仅为假名化，则仍属个人信息，出境需满足更严格要求。合同未明确技术细节。</w:t>
      </w:r>
    </w:p>
    <w:p>
      <w:pPr>
        <w:numPr>
          <w:numId w:val="87"/>
        </w:numPr>
        <w:spacing w:before="120" w:after="120" w:line="288" w:lineRule="auto"/>
        <w:ind w:left="0"/>
        <w:jc w:val="left"/>
      </w:pPr>
      <w:r>
        <w:rPr>
          <w:rFonts w:eastAsia="等线" w:ascii="Arial" w:cs="Arial" w:hAnsi="Arial"/>
          <w:b w:val="true"/>
          <w:sz w:val="22"/>
        </w:rPr>
        <w:t>数据销毁证明标准低</w:t>
      </w:r>
      <w:r>
        <w:rPr>
          <w:rFonts w:eastAsia="等线" w:ascii="Arial" w:cs="Arial" w:hAnsi="Arial"/>
          <w:sz w:val="22"/>
        </w:rPr>
        <w:t>：第十条要求“技术负责人签字确认的数据销毁证明”，缺乏第三方审计或可验证的技术证据，证明力弱。</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88"/>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合同明确涉及数据出境，但完全缺失数据出境专项法律文件应具备的核心保护条款，无法满足《个人信息保护法》第三十八条下的合规要求（标准合同、认证或安全评估）。当前合同框架下进行数据出境活动存在重大法律风险。</w:t>
      </w:r>
    </w:p>
    <w:p>
      <w:pPr>
        <w:numPr>
          <w:numId w:val="89"/>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90"/>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：第十四条第3款。</w:t>
      </w:r>
    </w:p>
    <w:p>
      <w:pPr>
        <w:numPr>
          <w:numId w:val="91"/>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与法规冲突/责任界定错误</w:t>
      </w:r>
      <w:r>
        <w:rPr>
          <w:rFonts w:eastAsia="等线" w:ascii="Arial" w:cs="Arial" w:hAnsi="Arial"/>
          <w:sz w:val="22"/>
        </w:rPr>
        <w:t>。</w:t>
      </w:r>
    </w:p>
    <w:p>
      <w:pPr>
        <w:numPr>
          <w:numId w:val="92"/>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：此条款模糊了数据出境的法定责任主体。根据《个人信息保护法》第三十八条及《个人信息出境标准合同办法》，向境外提供个人信息的合规义务（如开展个人信息保护影响评估、订立标准合同）</w:t>
      </w:r>
      <w:r>
        <w:rPr>
          <w:rFonts w:eastAsia="等线" w:ascii="Arial" w:cs="Arial" w:hAnsi="Arial"/>
          <w:b w:val="true"/>
          <w:sz w:val="22"/>
        </w:rPr>
        <w:t>完全且必须</w:t>
      </w:r>
      <w:r>
        <w:rPr>
          <w:rFonts w:eastAsia="等线" w:ascii="Arial" w:cs="Arial" w:hAnsi="Arial"/>
          <w:sz w:val="22"/>
        </w:rPr>
        <w:t>由个人信息处理者（甲方）承担。约定“共同确保”在法律上无法免除甲方的独立责任，且可能误导甲方。</w:t>
      </w:r>
    </w:p>
    <w:p>
      <w:pPr>
        <w:numPr>
          <w:numId w:val="93"/>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：《个人信息保护法》第三十八条；《个人信息出境标准合同办法》第四条。</w:t>
      </w:r>
    </w:p>
    <w:p>
      <w:pPr>
        <w:numPr>
          <w:numId w:val="94"/>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：修改为：“甲方确认并同意乙方将本协议涉及的数据传输至新加坡进行处理。</w:t>
      </w:r>
      <w:r>
        <w:rPr>
          <w:rFonts w:eastAsia="等线" w:ascii="Arial" w:cs="Arial" w:hAnsi="Arial"/>
          <w:b w:val="true"/>
          <w:sz w:val="22"/>
        </w:rPr>
        <w:t>甲方作为个人信息处理者，应独立负责确保该数据出境活动符合《中华人民共和国个人信息保护法》等中国数据出境相关法律法规的要求，包括但不限于依法开展个人信息保护影响评估，并与乙方（作为境外接收方）另行签订国家网信部门制定的《个人信息出境标准合同》。</w:t>
      </w:r>
      <w:r>
        <w:rPr>
          <w:rFonts w:eastAsia="等线" w:ascii="Arial" w:cs="Arial" w:hAnsi="Arial"/>
          <w:sz w:val="22"/>
        </w:rPr>
        <w:t>乙方应提供甲方完成前述合规义务所需的合理协助与信息。”</w:t>
      </w:r>
    </w:p>
    <w:p>
      <w:pPr>
        <w:numPr>
          <w:numId w:val="95"/>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：全局性缺失。</w:t>
      </w:r>
    </w:p>
    <w:p>
      <w:pPr>
        <w:numPr>
          <w:numId w:val="96"/>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缺失条款（数据出境专项）</w:t>
      </w:r>
      <w:r>
        <w:rPr>
          <w:rFonts w:eastAsia="等线" w:ascii="Arial" w:cs="Arial" w:hAnsi="Arial"/>
          <w:sz w:val="22"/>
        </w:rPr>
        <w:t>。</w:t>
      </w:r>
    </w:p>
    <w:p>
      <w:pPr>
        <w:numPr>
          <w:numId w:val="97"/>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：合同未约定数据在境外的具体保存期限、地点（如具体数据中心）、是否允许乙方再转移给其他境外第三方、如何应对新加坡法律环境变化可能带来的数据调取风险等。这些是监管关注的核心风险点。</w:t>
      </w:r>
    </w:p>
    <w:p>
      <w:pPr>
        <w:numPr>
          <w:numId w:val="98"/>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：《数据出境安全评估办法》第九条；《个人信息出境标准合同》第三条、第四条、第八条。</w:t>
      </w:r>
    </w:p>
    <w:p>
      <w:pPr>
        <w:numPr>
          <w:numId w:val="99"/>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w:t>
      </w:r>
      <w:r>
        <w:rPr>
          <w:rFonts w:eastAsia="等线" w:ascii="Arial" w:cs="Arial" w:hAnsi="Arial"/>
          <w:b w:val="true"/>
          <w:sz w:val="22"/>
        </w:rPr>
        <w:t>强烈建议甲方与乙方另行签署《个人信息出境标准合同》</w:t>
      </w:r>
      <w:r>
        <w:rPr>
          <w:rFonts w:eastAsia="等线" w:ascii="Arial" w:cs="Arial" w:hAnsi="Arial"/>
          <w:sz w:val="22"/>
        </w:rPr>
        <w:t>，或将标准合同的全部必备条款作为本合同的补充附件。至少应增加条款明确：境外保存期限（与处理目的相匹配的最短时间）、境外存储的具体地理位置、禁止未经甲方同意向任何第三方再转移、乙方承诺遵守中国法律关于数据出境的规定、以及乙方所在国法律要求提供数据时的通知义务等。</w:t>
      </w:r>
    </w:p>
    <w:p>
      <w:pPr>
        <w:pStyle w:val="3"/>
        <w:spacing w:before="300" w:after="120" w:line="288" w:lineRule="auto"/>
        <w:ind w:left="0"/>
        <w:jc w:val="left"/>
        <w:outlineLvl w:val="2"/>
      </w:pPr>
      <w:bookmarkStart w:name="heading_5" w:id="5"/>
      <w:r>
        <w:rPr>
          <w:rFonts w:eastAsia="等线" w:ascii="Arial" w:cs="Arial" w:hAnsi="Arial"/>
          <w:b w:val="true"/>
          <w:sz w:val="30"/>
        </w:rPr>
        <w:t xml:space="preserve">测试案例三：审查《个人信息出境标准合同》（填写不当且附录二存在违规添加） </w:t>
      </w:r>
      <w:bookmarkEnd w:id="5"/>
    </w:p>
    <w:p>
      <w:pPr>
        <w:spacing w:before="120" w:after="120" w:line="288" w:lineRule="auto"/>
        <w:ind w:left="0"/>
        <w:jc w:val="left"/>
      </w:pPr>
      <w:r>
        <w:rPr>
          <w:rFonts w:eastAsia="等线" w:ascii="Arial" w:cs="Arial" w:hAnsi="Arial"/>
          <w:b w:val="true"/>
          <w:sz w:val="22"/>
        </w:rPr>
        <w:t>场景描述</w:t>
      </w:r>
      <w:r>
        <w:rPr>
          <w:rFonts w:eastAsia="等线" w:ascii="Arial" w:cs="Arial" w:hAnsi="Arial"/>
          <w:sz w:val="22"/>
        </w:rPr>
        <w:t>：“蔚蓝新能源汽车有限公司”（个人信息处理者）向其位于德国的研发中心“BlueAuto GmbH”（境外接收方）传输中国车主的车辆诊断数据（含位置、电池状态等）用于产品改进。双方签署了标准合同。</w:t>
      </w:r>
    </w:p>
    <w:p>
      <w:pPr>
        <w:spacing w:before="120" w:after="120" w:line="288" w:lineRule="auto"/>
        <w:ind w:left="0"/>
        <w:jc w:val="left"/>
      </w:pPr>
      <w:r>
        <w:rPr>
          <w:rFonts w:eastAsia="等线" w:ascii="Arial" w:cs="Arial" w:hAnsi="Arial"/>
          <w:b w:val="true"/>
          <w:sz w:val="22"/>
        </w:rPr>
        <w:t>提交审查的文档全文（问题部分）</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个人信息出境标准合同</w:t>
              <w:br/>
              <w:t>...</w:t>
              <w:br/>
              <w:t>附录一 个人信息出境说明</w:t>
              <w:br/>
              <w:t>(一)处理目的: **车辆故障分析、软件性能优化、新产品研发**。</w:t>
              <w:br/>
              <w:t>(二)处理方式: **接收、存储、分析、建模**。</w:t>
              <w:br/>
              <w:t>(三)出境个人信息的规模: **约50万名车主的相关数据**。</w:t>
              <w:br/>
              <w:t>(四)出境个人信息种类: **车辆识别码(VIN)、车辆位置数据、电池充放电状态、故障报警代码、车辆控制软件版本号**。</w:t>
              <w:br/>
              <w:t>(五)出境敏感个人信息种类: **车辆位置数据**。</w:t>
              <w:br/>
              <w:t>(六)境外接收方只向以下中华人民共和国境外第三方提供个人信息: **无**。</w:t>
              <w:br/>
              <w:t>(七)传输方式: **通过专线加密传输**。</w:t>
              <w:br/>
              <w:t>(八)出境后保存期限: ( 2025年 6 月 1 日至 2030 年 5 月 31 日)</w:t>
              <w:br/>
              <w:t>(九)出境后保存地点: **德国法兰克福数据中心**。</w:t>
              <w:br/>
              <w:t>...</w:t>
              <w:br/>
              <w:br/>
              <w:t>附录二 双方约定的其他条款</w:t>
              <w:br/>
              <w:t>1. 双方理解并同意，为遵守欧盟《通用数据保护条例》(GDPR)，境外接收方对个人信息的处理应优先适用GDPR。当本合同条款与GDPR强制性规定冲突时，应以GDPR为准。</w:t>
              <w:br/>
              <w:t>2. 双方同意，本合同项下任何争议，均应提交国际商会仲裁院(ICC)在新加坡进行仲裁，仲裁裁决是终局的，对双方均有约束力。</w:t>
              <w:br/>
              <w:t>3. 境外接收方为履行本合同目的，可将其在本合同项下的权利义务整体转让给其关联公司，但应提前30日书面通知个人信息处理者。</w:t>
              <w:br/>
            </w:r>
            <w:r>
              <w:rPr>
                <w:rFonts w:eastAsia="Consolas" w:ascii="Consolas" w:cs="Consolas" w:hAnsi="Consolas"/>
                <w:sz w:val="22"/>
              </w:rPr>
              <w:t>4. 若个人信息主体依据本合同第五条行使权利，给境外接收方造成超过10,000欧元成本的，境外接收方有权向个人信息主体收取合理费用。</w:t>
            </w:r>
          </w:p>
        </w:tc>
      </w:tr>
    </w:tbl>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100"/>
        </w:numPr>
        <w:spacing w:before="120" w:after="120" w:line="288" w:lineRule="auto"/>
        <w:ind w:left="0"/>
        <w:jc w:val="left"/>
      </w:pPr>
      <w:r>
        <w:rPr>
          <w:rFonts w:eastAsia="等线" w:ascii="Arial" w:cs="Arial" w:hAnsi="Arial"/>
          <w:b w:val="true"/>
          <w:sz w:val="22"/>
        </w:rPr>
        <w:t>附录一填写问题</w:t>
      </w:r>
      <w:r>
        <w:rPr>
          <w:rFonts w:eastAsia="等线" w:ascii="Arial" w:cs="Arial" w:hAnsi="Arial"/>
          <w:sz w:val="22"/>
        </w:rPr>
        <w:t>：</w:t>
      </w:r>
    </w:p>
    <w:p>
      <w:pPr>
        <w:numPr>
          <w:numId w:val="101"/>
        </w:numPr>
        <w:spacing w:before="120" w:after="120" w:line="288" w:lineRule="auto"/>
        <w:ind w:left="453"/>
        <w:jc w:val="left"/>
      </w:pPr>
      <w:r>
        <w:rPr>
          <w:rFonts w:eastAsia="等线" w:ascii="Arial" w:cs="Arial" w:hAnsi="Arial"/>
          <w:sz w:val="22"/>
        </w:rPr>
        <w:t>“出境个人信息的规模”描述模糊（“约50万名车主的相关数据”），未区分一般与敏感个人信息的数量，不利于判断是否触发安全评估阈值。</w:t>
      </w:r>
    </w:p>
    <w:p>
      <w:pPr>
        <w:numPr>
          <w:numId w:val="102"/>
        </w:numPr>
        <w:spacing w:before="120" w:after="120" w:line="288" w:lineRule="auto"/>
        <w:ind w:left="453"/>
        <w:jc w:val="left"/>
      </w:pPr>
      <w:r>
        <w:rPr>
          <w:rFonts w:eastAsia="等线" w:ascii="Arial" w:cs="Arial" w:hAnsi="Arial"/>
          <w:sz w:val="22"/>
        </w:rPr>
        <w:t>“出境后保存期限”固定为5年，未体现“为实现处理目的所必要的最短时间”原则，也未与具体处理目的（如车型生命周期）挂钩。</w:t>
      </w:r>
    </w:p>
    <w:p>
      <w:pPr>
        <w:numPr>
          <w:numId w:val="103"/>
        </w:numPr>
        <w:spacing w:before="120" w:after="120" w:line="288" w:lineRule="auto"/>
        <w:ind w:left="0"/>
        <w:jc w:val="left"/>
      </w:pPr>
      <w:r>
        <w:rPr>
          <w:rFonts w:eastAsia="等线" w:ascii="Arial" w:cs="Arial" w:hAnsi="Arial"/>
          <w:b w:val="true"/>
          <w:sz w:val="22"/>
        </w:rPr>
        <w:t>附录二条款严重违反标准合同要求</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sz w:val="22"/>
        </w:rPr>
        <w:t>第1条（法律适用优先）：约定优先适用GDPR，与标准合同第九条第二项“适用中华人民共和国相关法律法规”及第五项“不得以与相关法律法规规定的权利、义务相抵触的方式解释”</w:t>
      </w:r>
      <w:r>
        <w:rPr>
          <w:rFonts w:eastAsia="等线" w:ascii="Arial" w:cs="Arial" w:hAnsi="Arial"/>
          <w:b w:val="true"/>
          <w:sz w:val="22"/>
        </w:rPr>
        <w:t>直接冲突</w:t>
      </w:r>
      <w:r>
        <w:rPr>
          <w:rFonts w:eastAsia="等线" w:ascii="Arial" w:cs="Arial" w:hAnsi="Arial"/>
          <w:sz w:val="22"/>
        </w:rPr>
        <w:t>。这可能导致中国法赋予个人信息主体的权利被削弱。</w:t>
      </w:r>
    </w:p>
    <w:p>
      <w:pPr>
        <w:numPr>
          <w:numId w:val="105"/>
        </w:numPr>
        <w:spacing w:before="120" w:after="120" w:line="288" w:lineRule="auto"/>
        <w:ind w:left="453"/>
        <w:jc w:val="left"/>
      </w:pPr>
      <w:r>
        <w:rPr>
          <w:rFonts w:eastAsia="等线" w:ascii="Arial" w:cs="Arial" w:hAnsi="Arial"/>
          <w:sz w:val="22"/>
        </w:rPr>
        <w:t>第2条（争议解决）：约定ICC新加坡仲裁，完全改变了标准合同第九条第四项提供的选项（中国法院或中国仲裁机构），</w:t>
      </w:r>
      <w:r>
        <w:rPr>
          <w:rFonts w:eastAsia="等线" w:ascii="Arial" w:cs="Arial" w:hAnsi="Arial"/>
          <w:b w:val="true"/>
          <w:sz w:val="22"/>
        </w:rPr>
        <w:t>剥夺了个人信息主体向中国法院起诉的权利</w:t>
      </w:r>
      <w:r>
        <w:rPr>
          <w:rFonts w:eastAsia="等线" w:ascii="Arial" w:cs="Arial" w:hAnsi="Arial"/>
          <w:sz w:val="22"/>
        </w:rPr>
        <w:t>（标准合同第六条规定个人信息主体可向中国法院起诉），属于重大违规。</w:t>
      </w:r>
    </w:p>
    <w:p>
      <w:pPr>
        <w:numPr>
          <w:numId w:val="106"/>
        </w:numPr>
        <w:spacing w:before="120" w:after="120" w:line="288" w:lineRule="auto"/>
        <w:ind w:left="453"/>
        <w:jc w:val="left"/>
      </w:pPr>
      <w:r>
        <w:rPr>
          <w:rFonts w:eastAsia="等线" w:ascii="Arial" w:cs="Arial" w:hAnsi="Arial"/>
          <w:sz w:val="22"/>
        </w:rPr>
        <w:t>第3条（合同转让）：允许境外接收方单方面转让合同权利义务，可能将数据交给个人信息处理者未知且未评估过的第三方，</w:t>
      </w:r>
      <w:r>
        <w:rPr>
          <w:rFonts w:eastAsia="等线" w:ascii="Arial" w:cs="Arial" w:hAnsi="Arial"/>
          <w:b w:val="true"/>
          <w:sz w:val="22"/>
        </w:rPr>
        <w:t>极大增加了数据安全风险</w:t>
      </w:r>
      <w:r>
        <w:rPr>
          <w:rFonts w:eastAsia="等线" w:ascii="Arial" w:cs="Arial" w:hAnsi="Arial"/>
          <w:sz w:val="22"/>
        </w:rPr>
        <w:t>，违反了标准合同关于接收方义务不得随意变更的精神。</w:t>
      </w:r>
    </w:p>
    <w:p>
      <w:pPr>
        <w:numPr>
          <w:numId w:val="107"/>
        </w:numPr>
        <w:spacing w:before="120" w:after="120" w:line="288" w:lineRule="auto"/>
        <w:ind w:left="453"/>
        <w:jc w:val="left"/>
      </w:pPr>
      <w:r>
        <w:rPr>
          <w:rFonts w:eastAsia="等线" w:ascii="Arial" w:cs="Arial" w:hAnsi="Arial"/>
          <w:sz w:val="22"/>
        </w:rPr>
        <w:t>第4条（收费条款）：对个人信息主体行使权利设置高额成本门槛，</w:t>
      </w:r>
      <w:r>
        <w:rPr>
          <w:rFonts w:eastAsia="等线" w:ascii="Arial" w:cs="Arial" w:hAnsi="Arial"/>
          <w:b w:val="true"/>
          <w:sz w:val="22"/>
        </w:rPr>
        <w:t>变相限制和阻碍了个人信息主体依法行使权利</w:t>
      </w:r>
      <w:r>
        <w:rPr>
          <w:rFonts w:eastAsia="等线" w:ascii="Arial" w:cs="Arial" w:hAnsi="Arial"/>
          <w:sz w:val="22"/>
        </w:rPr>
        <w:t>，与《个人信息保护法》及标准合同保障个人权益的宗旨相悖。</w:t>
      </w:r>
    </w:p>
    <w:p>
      <w:pPr>
        <w:numPr>
          <w:numId w:val="108"/>
        </w:numPr>
        <w:spacing w:before="120" w:after="120" w:line="288" w:lineRule="auto"/>
        <w:ind w:left="0"/>
        <w:jc w:val="left"/>
      </w:pPr>
      <w:r>
        <w:rPr>
          <w:rFonts w:eastAsia="等线" w:ascii="Arial" w:cs="Arial" w:hAnsi="Arial"/>
          <w:b w:val="true"/>
          <w:sz w:val="22"/>
        </w:rPr>
        <w:t>未填写技术措施</w:t>
      </w:r>
      <w:r>
        <w:rPr>
          <w:rFonts w:eastAsia="等线" w:ascii="Arial" w:cs="Arial" w:hAnsi="Arial"/>
          <w:sz w:val="22"/>
        </w:rPr>
        <w:t>：合同正文第二条第五项要求约定具体技术和管理措施，但双方留空。</w:t>
      </w:r>
    </w:p>
    <w:p>
      <w:pPr>
        <w:spacing w:before="120" w:after="120" w:line="288" w:lineRule="auto"/>
        <w:ind w:left="0"/>
        <w:jc w:val="left"/>
      </w:pPr>
      <w:r>
        <w:rPr>
          <w:rFonts w:eastAsia="等线" w:ascii="Arial" w:cs="Arial" w:hAnsi="Arial"/>
          <w:b w:val="true"/>
          <w:sz w:val="22"/>
        </w:rPr>
        <w:t>预期输出（《合规审查报告》核心发现）</w:t>
      </w:r>
      <w:r>
        <w:rPr>
          <w:rFonts w:eastAsia="等线" w:ascii="Arial" w:cs="Arial" w:hAnsi="Arial"/>
          <w:sz w:val="22"/>
        </w:rPr>
        <w:t>：</w:t>
      </w:r>
    </w:p>
    <w:p>
      <w:pPr>
        <w:numPr>
          <w:numId w:val="109"/>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极高风险</w:t>
      </w:r>
      <w:r>
        <w:rPr>
          <w:rFonts w:eastAsia="等线" w:ascii="Arial" w:cs="Arial" w:hAnsi="Arial"/>
          <w:sz w:val="22"/>
        </w:rPr>
        <w:t>。本合同虽然采用了标准合同范本，但附录二的多项约定</w:t>
      </w:r>
      <w:r>
        <w:rPr>
          <w:rFonts w:eastAsia="等线" w:ascii="Arial" w:cs="Arial" w:hAnsi="Arial"/>
          <w:b w:val="true"/>
          <w:sz w:val="22"/>
        </w:rPr>
        <w:t>实质性修改并违反了标准合同的强制性核心条款</w:t>
      </w:r>
      <w:r>
        <w:rPr>
          <w:rFonts w:eastAsia="等线" w:ascii="Arial" w:cs="Arial" w:hAnsi="Arial"/>
          <w:sz w:val="22"/>
        </w:rPr>
        <w:t>，特别是关于法律适用、争议解决和个人信息主体权利保障方面。依据《个人信息出境标准合同办法》，此类修改可能导致合同无法通过备案，甚至整体无效。</w:t>
      </w:r>
    </w:p>
    <w:p>
      <w:pPr>
        <w:numPr>
          <w:numId w:val="110"/>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111"/>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：附录二，第1条。</w:t>
      </w:r>
    </w:p>
    <w:p>
      <w:pPr>
        <w:numPr>
          <w:numId w:val="112"/>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与法规冲突/无效条款</w:t>
      </w:r>
      <w:r>
        <w:rPr>
          <w:rFonts w:eastAsia="等线" w:ascii="Arial" w:cs="Arial" w:hAnsi="Arial"/>
          <w:sz w:val="22"/>
        </w:rPr>
        <w:t>。</w:t>
      </w:r>
    </w:p>
    <w:p>
      <w:pPr>
        <w:numPr>
          <w:numId w:val="113"/>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：该条款试图确立GDPR的优先适用地位。根据《个人信息出境标准合同办法》第五条，标准合同条款是个人信息出境活动的</w:t>
      </w:r>
      <w:r>
        <w:rPr>
          <w:rFonts w:eastAsia="等线" w:ascii="Arial" w:cs="Arial" w:hAnsi="Arial"/>
          <w:b w:val="true"/>
          <w:sz w:val="22"/>
        </w:rPr>
        <w:t>最低法律保障</w:t>
      </w:r>
      <w:r>
        <w:rPr>
          <w:rFonts w:eastAsia="等线" w:ascii="Arial" w:cs="Arial" w:hAnsi="Arial"/>
          <w:sz w:val="22"/>
        </w:rPr>
        <w:t>，旨在确保境外接收方的处理活动达到中国保护标准。允许境外法优先适用，完全违背了标准合同的立法目的，该条款极大可能被中国监管机构认定为无效。</w:t>
      </w:r>
    </w:p>
    <w:p>
      <w:pPr>
        <w:numPr>
          <w:numId w:val="114"/>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：《个人信息出境标准合同办法》第五条、第九条第二项及第五项。</w:t>
      </w:r>
    </w:p>
    <w:p>
      <w:pPr>
        <w:numPr>
          <w:numId w:val="115"/>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w:t>
      </w:r>
      <w:r>
        <w:rPr>
          <w:rFonts w:eastAsia="等线" w:ascii="Arial" w:cs="Arial" w:hAnsi="Arial"/>
          <w:b w:val="true"/>
          <w:sz w:val="22"/>
        </w:rPr>
        <w:t>必须删除此条款</w:t>
      </w:r>
      <w:r>
        <w:rPr>
          <w:rFonts w:eastAsia="等线" w:ascii="Arial" w:cs="Arial" w:hAnsi="Arial"/>
          <w:sz w:val="22"/>
        </w:rPr>
        <w:t>。可增加一条说明性条款：“境外接收方承诺，其依据本合同处理个人信息的活动，在遵守本合同的前提下，也将尽力符合GDPR等其所在地法律法规的要求。但本合同的解释与履行均以中华人民共和国法律为准据。”</w:t>
      </w:r>
    </w:p>
    <w:p>
      <w:pPr>
        <w:numPr>
          <w:numId w:val="116"/>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：附录二，第2条。</w:t>
      </w:r>
    </w:p>
    <w:p>
      <w:pPr>
        <w:numPr>
          <w:numId w:val="117"/>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与法规冲突/剥夺核心权利</w:t>
      </w:r>
      <w:r>
        <w:rPr>
          <w:rFonts w:eastAsia="等线" w:ascii="Arial" w:cs="Arial" w:hAnsi="Arial"/>
          <w:sz w:val="22"/>
        </w:rPr>
        <w:t>。</w:t>
      </w:r>
    </w:p>
    <w:p>
      <w:pPr>
        <w:numPr>
          <w:numId w:val="118"/>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：此仲裁条款排除了标准合同第九条第四项赋予双方的选择权，更关键的是，它</w:t>
      </w:r>
      <w:r>
        <w:rPr>
          <w:rFonts w:eastAsia="等线" w:ascii="Arial" w:cs="Arial" w:hAnsi="Arial"/>
          <w:b w:val="true"/>
          <w:sz w:val="22"/>
        </w:rPr>
        <w:t>剥夺了个人信息主体依据标准合同第六条第五款向中国人民法院提起诉讼的法定权利</w:t>
      </w:r>
      <w:r>
        <w:rPr>
          <w:rFonts w:eastAsia="等线" w:ascii="Arial" w:cs="Arial" w:hAnsi="Arial"/>
          <w:sz w:val="22"/>
        </w:rPr>
        <w:t>。根据《个人信息出境标准合同办法》，保障个人信息主体的司法救济渠道是标准合同的基石之一，此修改严重违法。</w:t>
      </w:r>
    </w:p>
    <w:p>
      <w:pPr>
        <w:numPr>
          <w:numId w:val="119"/>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：《个人信息出境标准合同》第六条第五项、第九条第四项；《个人信息出境标准合同办法》第五条。</w:t>
      </w:r>
    </w:p>
    <w:p>
      <w:pPr>
        <w:numPr>
          <w:numId w:val="120"/>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w:t>
      </w:r>
      <w:r>
        <w:rPr>
          <w:rFonts w:eastAsia="等线" w:ascii="Arial" w:cs="Arial" w:hAnsi="Arial"/>
          <w:b w:val="true"/>
          <w:sz w:val="22"/>
        </w:rPr>
        <w:t>必须删除此条款</w:t>
      </w:r>
      <w:r>
        <w:rPr>
          <w:rFonts w:eastAsia="等线" w:ascii="Arial" w:cs="Arial" w:hAnsi="Arial"/>
          <w:sz w:val="22"/>
        </w:rPr>
        <w:t>。严格按照标准合同第九条第四项在合同正文部分勾选一种争议解决方式（推荐选择“依法向中华人民共和国有管辖权的人民法院提起诉讼”）。</w:t>
      </w:r>
    </w:p>
    <w:p>
      <w:pPr>
        <w:numPr>
          <w:numId w:val="121"/>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：附录二，第4条。</w:t>
      </w:r>
    </w:p>
    <w:p>
      <w:pPr>
        <w:numPr>
          <w:numId w:val="122"/>
        </w:numPr>
        <w:spacing w:before="120" w:after="120" w:line="288" w:lineRule="auto"/>
        <w:ind w:left="453"/>
        <w:jc w:val="left"/>
      </w:pPr>
      <w:r>
        <w:rPr>
          <w:rFonts w:eastAsia="等线" w:ascii="Arial" w:cs="Arial" w:hAnsi="Arial"/>
          <w:b w:val="true"/>
          <w:sz w:val="22"/>
        </w:rPr>
        <w:t>问题类型</w:t>
      </w:r>
      <w:r>
        <w:rPr>
          <w:rFonts w:eastAsia="等线" w:ascii="Arial" w:cs="Arial" w:hAnsi="Arial"/>
          <w:sz w:val="22"/>
        </w:rPr>
        <w:t>：</w:t>
      </w:r>
      <w:r>
        <w:rPr>
          <w:rFonts w:eastAsia="等线" w:ascii="Arial" w:cs="Arial" w:hAnsi="Arial"/>
          <w:b w:val="true"/>
          <w:sz w:val="22"/>
        </w:rPr>
        <w:t>责任限制过度/减损主体权利</w:t>
      </w:r>
      <w:r>
        <w:rPr>
          <w:rFonts w:eastAsia="等线" w:ascii="Arial" w:cs="Arial" w:hAnsi="Arial"/>
          <w:sz w:val="22"/>
        </w:rPr>
        <w:t>。</w:t>
      </w:r>
    </w:p>
    <w:p>
      <w:pPr>
        <w:numPr>
          <w:numId w:val="123"/>
        </w:numPr>
        <w:spacing w:before="120" w:after="120" w:line="288" w:lineRule="auto"/>
        <w:ind w:left="453"/>
        <w:jc w:val="left"/>
      </w:pPr>
      <w:r>
        <w:rPr>
          <w:rFonts w:eastAsia="等线" w:ascii="Arial" w:cs="Arial" w:hAnsi="Arial"/>
          <w:b w:val="true"/>
          <w:sz w:val="22"/>
        </w:rPr>
        <w:t>风险分析</w:t>
      </w:r>
      <w:r>
        <w:rPr>
          <w:rFonts w:eastAsia="等线" w:ascii="Arial" w:cs="Arial" w:hAnsi="Arial"/>
          <w:sz w:val="22"/>
        </w:rPr>
        <w:t>：为个人信息主体行使查阅、复制、更正、删除等法定权利设置费用门槛，违反了《个人信息保护法》关于个人信息处理者不得设置不合理条件阻碍个人行使权利的规定，也与标准合同第五条约定的境外接收方协助实现个人权利的义务相抵触。</w:t>
      </w:r>
    </w:p>
    <w:p>
      <w:pPr>
        <w:numPr>
          <w:numId w:val="124"/>
        </w:numPr>
        <w:spacing w:before="120" w:after="120" w:line="288" w:lineRule="auto"/>
        <w:ind w:left="453"/>
        <w:jc w:val="left"/>
      </w:pPr>
      <w:r>
        <w:rPr>
          <w:rFonts w:eastAsia="等线" w:ascii="Arial" w:cs="Arial" w:hAnsi="Arial"/>
          <w:b w:val="true"/>
          <w:sz w:val="22"/>
        </w:rPr>
        <w:t>法规依据</w:t>
      </w:r>
      <w:r>
        <w:rPr>
          <w:rFonts w:eastAsia="等线" w:ascii="Arial" w:cs="Arial" w:hAnsi="Arial"/>
          <w:sz w:val="22"/>
        </w:rPr>
        <w:t>：《个人信息保护法》第四十四条、第四十五条；《个人信息出境标准合同》第五条。</w:t>
      </w:r>
    </w:p>
    <w:p>
      <w:pPr>
        <w:numPr>
          <w:numId w:val="125"/>
        </w:numPr>
        <w:spacing w:before="120" w:after="120" w:line="288" w:lineRule="auto"/>
        <w:ind w:left="453"/>
        <w:jc w:val="left"/>
      </w:pPr>
      <w:r>
        <w:rPr>
          <w:rFonts w:eastAsia="等线" w:ascii="Arial" w:cs="Arial" w:hAnsi="Arial"/>
          <w:b w:val="true"/>
          <w:sz w:val="22"/>
        </w:rPr>
        <w:t>修改建议</w:t>
      </w:r>
      <w:r>
        <w:rPr>
          <w:rFonts w:eastAsia="等线" w:ascii="Arial" w:cs="Arial" w:hAnsi="Arial"/>
          <w:sz w:val="22"/>
        </w:rPr>
        <w:t>：</w:t>
      </w:r>
      <w:r>
        <w:rPr>
          <w:rFonts w:eastAsia="等线" w:ascii="Arial" w:cs="Arial" w:hAnsi="Arial"/>
          <w:b w:val="true"/>
          <w:sz w:val="22"/>
        </w:rPr>
        <w:t>必须删除此条款</w:t>
      </w:r>
      <w:r>
        <w:rPr>
          <w:rFonts w:eastAsia="等线" w:ascii="Arial" w:cs="Arial" w:hAnsi="Arial"/>
          <w:sz w:val="22"/>
        </w:rPr>
        <w:t>。应明确境外接收方履行个人信息主体权利请求的义务是无偿的，成本应由接收方自行承担。</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35824">
    <w:lvl>
      <w:start w:val="1"/>
      <w:numFmt w:val="decimal"/>
      <w:suff w:val="tab"/>
      <w:lvlText w:val="%1."/>
      <w:rPr>
        <w:color w:val="3370ff"/>
      </w:rPr>
    </w:lvl>
  </w:abstractNum>
  <w:abstractNum w:abstractNumId="1835825">
    <w:lvl>
      <w:start w:val="2"/>
      <w:numFmt w:val="decimal"/>
      <w:suff w:val="tab"/>
      <w:lvlText w:val="%1."/>
      <w:rPr>
        <w:color w:val="3370ff"/>
      </w:rPr>
    </w:lvl>
  </w:abstractNum>
  <w:abstractNum w:abstractNumId="1835826">
    <w:lvl>
      <w:start w:val="3"/>
      <w:numFmt w:val="decimal"/>
      <w:suff w:val="tab"/>
      <w:lvlText w:val="%1."/>
      <w:rPr>
        <w:color w:val="3370ff"/>
      </w:rPr>
    </w:lvl>
  </w:abstractNum>
  <w:abstractNum w:abstractNumId="1835827">
    <w:lvl>
      <w:start w:val="4"/>
      <w:numFmt w:val="decimal"/>
      <w:suff w:val="tab"/>
      <w:lvlText w:val="%1."/>
      <w:rPr>
        <w:color w:val="3370ff"/>
      </w:rPr>
    </w:lvl>
  </w:abstractNum>
  <w:abstractNum w:abstractNumId="1835828">
    <w:lvl>
      <w:start w:val="5"/>
      <w:numFmt w:val="decimal"/>
      <w:suff w:val="tab"/>
      <w:lvlText w:val="%1."/>
      <w:rPr>
        <w:color w:val="3370ff"/>
      </w:rPr>
    </w:lvl>
  </w:abstractNum>
  <w:abstractNum w:abstractNumId="1835829">
    <w:lvl>
      <w:start w:val="1"/>
      <w:numFmt w:val="decimal"/>
      <w:suff w:val="tab"/>
      <w:lvlText w:val="%1."/>
      <w:rPr>
        <w:color w:val="3370ff"/>
      </w:rPr>
    </w:lvl>
  </w:abstractNum>
  <w:abstractNum w:abstractNumId="1835830">
    <w:lvl>
      <w:start w:val="2"/>
      <w:numFmt w:val="decimal"/>
      <w:suff w:val="tab"/>
      <w:lvlText w:val="%1."/>
      <w:rPr>
        <w:color w:val="3370ff"/>
      </w:rPr>
    </w:lvl>
  </w:abstractNum>
  <w:abstractNum w:abstractNumId="1835831">
    <w:lvl>
      <w:numFmt w:val="bullet"/>
      <w:suff w:val="tab"/>
      <w:lvlText w:val="￮"/>
      <w:rPr>
        <w:color w:val="3370ff"/>
      </w:rPr>
    </w:lvl>
  </w:abstractNum>
  <w:abstractNum w:abstractNumId="1835832">
    <w:lvl>
      <w:numFmt w:val="bullet"/>
      <w:suff w:val="tab"/>
      <w:lvlText w:val="￮"/>
      <w:rPr>
        <w:color w:val="3370ff"/>
      </w:rPr>
    </w:lvl>
  </w:abstractNum>
  <w:abstractNum w:abstractNumId="1835833">
    <w:lvl>
      <w:numFmt w:val="bullet"/>
      <w:suff w:val="tab"/>
      <w:lvlText w:val="￮"/>
      <w:rPr>
        <w:color w:val="3370ff"/>
      </w:rPr>
    </w:lvl>
  </w:abstractNum>
  <w:abstractNum w:abstractNumId="1835834">
    <w:lvl>
      <w:numFmt w:val="bullet"/>
      <w:suff w:val="tab"/>
      <w:lvlText w:val="￮"/>
      <w:rPr>
        <w:color w:val="3370ff"/>
      </w:rPr>
    </w:lvl>
  </w:abstractNum>
  <w:abstractNum w:abstractNumId="1835835">
    <w:lvl>
      <w:numFmt w:val="bullet"/>
      <w:suff w:val="tab"/>
      <w:lvlText w:val="￮"/>
      <w:rPr>
        <w:color w:val="3370ff"/>
      </w:rPr>
    </w:lvl>
  </w:abstractNum>
  <w:abstractNum w:abstractNumId="1835836">
    <w:lvl>
      <w:numFmt w:val="bullet"/>
      <w:suff w:val="tab"/>
      <w:lvlText w:val="￮"/>
      <w:rPr>
        <w:color w:val="3370ff"/>
      </w:rPr>
    </w:lvl>
  </w:abstractNum>
  <w:abstractNum w:abstractNumId="1835837">
    <w:lvl>
      <w:numFmt w:val="bullet"/>
      <w:suff w:val="tab"/>
      <w:lvlText w:val="￮"/>
      <w:rPr>
        <w:color w:val="3370ff"/>
      </w:rPr>
    </w:lvl>
  </w:abstractNum>
  <w:abstractNum w:abstractNumId="1835838">
    <w:lvl>
      <w:numFmt w:val="bullet"/>
      <w:suff w:val="tab"/>
      <w:lvlText w:val="￮"/>
      <w:rPr>
        <w:color w:val="3370ff"/>
      </w:rPr>
    </w:lvl>
  </w:abstractNum>
  <w:abstractNum w:abstractNumId="1835839">
    <w:lvl>
      <w:numFmt w:val="bullet"/>
      <w:suff w:val="tab"/>
      <w:lvlText w:val="￮"/>
      <w:rPr>
        <w:color w:val="3370ff"/>
      </w:rPr>
    </w:lvl>
  </w:abstractNum>
  <w:abstractNum w:abstractNumId="1835840">
    <w:lvl>
      <w:numFmt w:val="bullet"/>
      <w:suff w:val="tab"/>
      <w:lvlText w:val="￮"/>
      <w:rPr>
        <w:color w:val="3370ff"/>
      </w:rPr>
    </w:lvl>
  </w:abstractNum>
  <w:abstractNum w:abstractNumId="1835841">
    <w:lvl>
      <w:numFmt w:val="bullet"/>
      <w:suff w:val="tab"/>
      <w:lvlText w:val="￮"/>
      <w:rPr>
        <w:color w:val="3370ff"/>
      </w:rPr>
    </w:lvl>
  </w:abstractNum>
  <w:abstractNum w:abstractNumId="1835842">
    <w:lvl>
      <w:numFmt w:val="bullet"/>
      <w:suff w:val="tab"/>
      <w:lvlText w:val="￮"/>
      <w:rPr>
        <w:color w:val="3370ff"/>
      </w:rPr>
    </w:lvl>
  </w:abstractNum>
  <w:abstractNum w:abstractNumId="1835843">
    <w:lvl>
      <w:numFmt w:val="bullet"/>
      <w:suff w:val="tab"/>
      <w:lvlText w:val="￮"/>
      <w:rPr>
        <w:color w:val="3370ff"/>
      </w:rPr>
    </w:lvl>
  </w:abstractNum>
  <w:abstractNum w:abstractNumId="1835844">
    <w:lvl>
      <w:numFmt w:val="bullet"/>
      <w:suff w:val="tab"/>
      <w:lvlText w:val="￮"/>
      <w:rPr>
        <w:color w:val="3370ff"/>
      </w:rPr>
    </w:lvl>
  </w:abstractNum>
  <w:abstractNum w:abstractNumId="1835845">
    <w:lvl>
      <w:numFmt w:val="bullet"/>
      <w:suff w:val="tab"/>
      <w:lvlText w:val="￮"/>
      <w:rPr>
        <w:color w:val="3370ff"/>
      </w:rPr>
    </w:lvl>
  </w:abstractNum>
  <w:abstractNum w:abstractNumId="1835846">
    <w:lvl>
      <w:start w:val="1"/>
      <w:numFmt w:val="decimal"/>
      <w:suff w:val="tab"/>
      <w:lvlText w:val="%1."/>
      <w:rPr>
        <w:color w:val="3370ff"/>
      </w:rPr>
    </w:lvl>
  </w:abstractNum>
  <w:abstractNum w:abstractNumId="1835847">
    <w:lvl>
      <w:start w:val="2"/>
      <w:numFmt w:val="decimal"/>
      <w:suff w:val="tab"/>
      <w:lvlText w:val="%1."/>
      <w:rPr>
        <w:color w:val="3370ff"/>
      </w:rPr>
    </w:lvl>
  </w:abstractNum>
  <w:abstractNum w:abstractNumId="1835848">
    <w:lvl>
      <w:start w:val="3"/>
      <w:numFmt w:val="decimal"/>
      <w:suff w:val="tab"/>
      <w:lvlText w:val="%1."/>
      <w:rPr>
        <w:color w:val="3370ff"/>
      </w:rPr>
    </w:lvl>
  </w:abstractNum>
  <w:abstractNum w:abstractNumId="1835849">
    <w:lvl>
      <w:start w:val="4"/>
      <w:numFmt w:val="decimal"/>
      <w:suff w:val="tab"/>
      <w:lvlText w:val="%1."/>
      <w:rPr>
        <w:color w:val="3370ff"/>
      </w:rPr>
    </w:lvl>
  </w:abstractNum>
  <w:abstractNum w:abstractNumId="1835850">
    <w:lvl>
      <w:start w:val="1"/>
      <w:numFmt w:val="decimal"/>
      <w:suff w:val="tab"/>
      <w:lvlText w:val="%1."/>
      <w:rPr>
        <w:color w:val="3370ff"/>
      </w:rPr>
    </w:lvl>
  </w:abstractNum>
  <w:abstractNum w:abstractNumId="1835851">
    <w:lvl>
      <w:start w:val="2"/>
      <w:numFmt w:val="decimal"/>
      <w:suff w:val="tab"/>
      <w:lvlText w:val="%1."/>
      <w:rPr>
        <w:color w:val="3370ff"/>
      </w:rPr>
    </w:lvl>
  </w:abstractNum>
  <w:abstractNum w:abstractNumId="1835852">
    <w:lvl>
      <w:numFmt w:val="bullet"/>
      <w:suff w:val="tab"/>
      <w:lvlText w:val="￮"/>
      <w:rPr>
        <w:color w:val="3370ff"/>
      </w:rPr>
    </w:lvl>
  </w:abstractNum>
  <w:abstractNum w:abstractNumId="1835853">
    <w:lvl>
      <w:numFmt w:val="bullet"/>
      <w:suff w:val="tab"/>
      <w:lvlText w:val="￮"/>
      <w:rPr>
        <w:color w:val="3370ff"/>
      </w:rPr>
    </w:lvl>
  </w:abstractNum>
  <w:abstractNum w:abstractNumId="1835854">
    <w:lvl>
      <w:numFmt w:val="bullet"/>
      <w:suff w:val="tab"/>
      <w:lvlText w:val="￮"/>
      <w:rPr>
        <w:color w:val="3370ff"/>
      </w:rPr>
    </w:lvl>
  </w:abstractNum>
  <w:abstractNum w:abstractNumId="1835855">
    <w:lvl>
      <w:numFmt w:val="bullet"/>
      <w:suff w:val="tab"/>
      <w:lvlText w:val="￮"/>
      <w:rPr>
        <w:color w:val="3370ff"/>
      </w:rPr>
    </w:lvl>
  </w:abstractNum>
  <w:abstractNum w:abstractNumId="1835856">
    <w:lvl>
      <w:numFmt w:val="bullet"/>
      <w:suff w:val="tab"/>
      <w:lvlText w:val="￮"/>
      <w:rPr>
        <w:color w:val="3370ff"/>
      </w:rPr>
    </w:lvl>
  </w:abstractNum>
  <w:abstractNum w:abstractNumId="1835857">
    <w:lvl>
      <w:numFmt w:val="bullet"/>
      <w:suff w:val="tab"/>
      <w:lvlText w:val="￮"/>
      <w:rPr>
        <w:color w:val="3370ff"/>
      </w:rPr>
    </w:lvl>
  </w:abstractNum>
  <w:abstractNum w:abstractNumId="1835858">
    <w:lvl>
      <w:numFmt w:val="bullet"/>
      <w:suff w:val="tab"/>
      <w:lvlText w:val="￮"/>
      <w:rPr>
        <w:color w:val="3370ff"/>
      </w:rPr>
    </w:lvl>
  </w:abstractNum>
  <w:abstractNum w:abstractNumId="1835859">
    <w:lvl>
      <w:numFmt w:val="bullet"/>
      <w:suff w:val="tab"/>
      <w:lvlText w:val="￮"/>
      <w:rPr>
        <w:color w:val="3370ff"/>
      </w:rPr>
    </w:lvl>
  </w:abstractNum>
  <w:abstractNum w:abstractNumId="1835860">
    <w:lvl>
      <w:numFmt w:val="bullet"/>
      <w:suff w:val="tab"/>
      <w:lvlText w:val="￮"/>
      <w:rPr>
        <w:color w:val="3370ff"/>
      </w:rPr>
    </w:lvl>
  </w:abstractNum>
  <w:abstractNum w:abstractNumId="1835861">
    <w:lvl>
      <w:numFmt w:val="bullet"/>
      <w:suff w:val="tab"/>
      <w:lvlText w:val="￮"/>
      <w:rPr>
        <w:color w:val="3370ff"/>
      </w:rPr>
    </w:lvl>
  </w:abstractNum>
  <w:abstractNum w:abstractNumId="1835862">
    <w:lvl>
      <w:start w:val="1"/>
      <w:numFmt w:val="decimal"/>
      <w:suff w:val="tab"/>
      <w:lvlText w:val="%1."/>
      <w:rPr>
        <w:color w:val="3370ff"/>
      </w:rPr>
    </w:lvl>
  </w:abstractNum>
  <w:abstractNum w:abstractNumId="1835863">
    <w:lvl>
      <w:numFmt w:val="bullet"/>
      <w:suff w:val="tab"/>
      <w:lvlText w:val="￮"/>
      <w:rPr>
        <w:color w:val="3370ff"/>
      </w:rPr>
    </w:lvl>
  </w:abstractNum>
  <w:abstractNum w:abstractNumId="1835864">
    <w:lvl>
      <w:numFmt w:val="bullet"/>
      <w:suff w:val="tab"/>
      <w:lvlText w:val="￮"/>
      <w:rPr>
        <w:color w:val="3370ff"/>
      </w:rPr>
    </w:lvl>
  </w:abstractNum>
  <w:abstractNum w:abstractNumId="1835865">
    <w:lvl>
      <w:numFmt w:val="bullet"/>
      <w:suff w:val="tab"/>
      <w:lvlText w:val="￮"/>
      <w:rPr>
        <w:color w:val="3370ff"/>
      </w:rPr>
    </w:lvl>
  </w:abstractNum>
  <w:abstractNum w:abstractNumId="1835866">
    <w:lvl>
      <w:numFmt w:val="bullet"/>
      <w:suff w:val="tab"/>
      <w:lvlText w:val="￮"/>
      <w:rPr>
        <w:color w:val="3370ff"/>
      </w:rPr>
    </w:lvl>
  </w:abstractNum>
  <w:abstractNum w:abstractNumId="1835867">
    <w:lvl>
      <w:start w:val="2"/>
      <w:numFmt w:val="decimal"/>
      <w:suff w:val="tab"/>
      <w:lvlText w:val="%1."/>
      <w:rPr>
        <w:color w:val="3370ff"/>
      </w:rPr>
    </w:lvl>
  </w:abstractNum>
  <w:abstractNum w:abstractNumId="1835868">
    <w:lvl>
      <w:numFmt w:val="bullet"/>
      <w:suff w:val="tab"/>
      <w:lvlText w:val="￮"/>
      <w:rPr>
        <w:color w:val="3370ff"/>
      </w:rPr>
    </w:lvl>
  </w:abstractNum>
  <w:abstractNum w:abstractNumId="1835869">
    <w:lvl>
      <w:numFmt w:val="bullet"/>
      <w:suff w:val="tab"/>
      <w:lvlText w:val="￮"/>
      <w:rPr>
        <w:color w:val="3370ff"/>
      </w:rPr>
    </w:lvl>
  </w:abstractNum>
  <w:abstractNum w:abstractNumId="1835870">
    <w:lvl>
      <w:numFmt w:val="bullet"/>
      <w:suff w:val="tab"/>
      <w:lvlText w:val="￮"/>
      <w:rPr>
        <w:color w:val="3370ff"/>
      </w:rPr>
    </w:lvl>
  </w:abstractNum>
  <w:abstractNum w:abstractNumId="1835871">
    <w:lvl>
      <w:numFmt w:val="bullet"/>
      <w:suff w:val="tab"/>
      <w:lvlText w:val="￮"/>
      <w:rPr>
        <w:color w:val="3370ff"/>
      </w:rPr>
    </w:lvl>
  </w:abstractNum>
  <w:abstractNum w:abstractNumId="1835872">
    <w:lvl>
      <w:start w:val="3"/>
      <w:numFmt w:val="decimal"/>
      <w:suff w:val="tab"/>
      <w:lvlText w:val="%1."/>
      <w:rPr>
        <w:color w:val="3370ff"/>
      </w:rPr>
    </w:lvl>
  </w:abstractNum>
  <w:abstractNum w:abstractNumId="1835873">
    <w:lvl>
      <w:start w:val="1"/>
      <w:numFmt w:val="decimal"/>
      <w:suff w:val="tab"/>
      <w:lvlText w:val="%1."/>
      <w:rPr>
        <w:color w:val="3370ff"/>
      </w:rPr>
    </w:lvl>
  </w:abstractNum>
  <w:abstractNum w:abstractNumId="1835874">
    <w:lvl>
      <w:start w:val="2"/>
      <w:numFmt w:val="decimal"/>
      <w:suff w:val="tab"/>
      <w:lvlText w:val="%1."/>
      <w:rPr>
        <w:color w:val="3370ff"/>
      </w:rPr>
    </w:lvl>
  </w:abstractNum>
  <w:abstractNum w:abstractNumId="1835875">
    <w:lvl>
      <w:numFmt w:val="bullet"/>
      <w:suff w:val="tab"/>
      <w:lvlText w:val="￮"/>
      <w:rPr>
        <w:color w:val="3370ff"/>
      </w:rPr>
    </w:lvl>
  </w:abstractNum>
  <w:abstractNum w:abstractNumId="1835876">
    <w:lvl>
      <w:numFmt w:val="bullet"/>
      <w:suff w:val="tab"/>
      <w:lvlText w:val="￮"/>
      <w:rPr>
        <w:color w:val="3370ff"/>
      </w:rPr>
    </w:lvl>
  </w:abstractNum>
  <w:abstractNum w:abstractNumId="1835877">
    <w:lvl>
      <w:numFmt w:val="bullet"/>
      <w:suff w:val="tab"/>
      <w:lvlText w:val="￮"/>
      <w:rPr>
        <w:color w:val="3370ff"/>
      </w:rPr>
    </w:lvl>
  </w:abstractNum>
  <w:abstractNum w:abstractNumId="1835878">
    <w:lvl>
      <w:numFmt w:val="bullet"/>
      <w:suff w:val="tab"/>
      <w:lvlText w:val="￮"/>
      <w:rPr>
        <w:color w:val="3370ff"/>
      </w:rPr>
    </w:lvl>
  </w:abstractNum>
  <w:abstractNum w:abstractNumId="1835879">
    <w:lvl>
      <w:numFmt w:val="bullet"/>
      <w:suff w:val="tab"/>
      <w:lvlText w:val="￮"/>
      <w:rPr>
        <w:color w:val="3370ff"/>
      </w:rPr>
    </w:lvl>
  </w:abstractNum>
  <w:abstractNum w:abstractNumId="1835880">
    <w:lvl>
      <w:numFmt w:val="bullet"/>
      <w:suff w:val="tab"/>
      <w:lvlText w:val="￮"/>
      <w:rPr>
        <w:color w:val="3370ff"/>
      </w:rPr>
    </w:lvl>
  </w:abstractNum>
  <w:abstractNum w:abstractNumId="1835881">
    <w:lvl>
      <w:numFmt w:val="bullet"/>
      <w:suff w:val="tab"/>
      <w:lvlText w:val="￮"/>
      <w:rPr>
        <w:color w:val="3370ff"/>
      </w:rPr>
    </w:lvl>
  </w:abstractNum>
  <w:abstractNum w:abstractNumId="1835882">
    <w:lvl>
      <w:numFmt w:val="bullet"/>
      <w:suff w:val="tab"/>
      <w:lvlText w:val="￮"/>
      <w:rPr>
        <w:color w:val="3370ff"/>
      </w:rPr>
    </w:lvl>
  </w:abstractNum>
  <w:abstractNum w:abstractNumId="1835883">
    <w:lvl>
      <w:numFmt w:val="bullet"/>
      <w:suff w:val="tab"/>
      <w:lvlText w:val="￮"/>
      <w:rPr>
        <w:color w:val="3370ff"/>
      </w:rPr>
    </w:lvl>
  </w:abstractNum>
  <w:abstractNum w:abstractNumId="1835884">
    <w:lvl>
      <w:numFmt w:val="bullet"/>
      <w:suff w:val="tab"/>
      <w:lvlText w:val="￮"/>
      <w:rPr>
        <w:color w:val="3370ff"/>
      </w:rPr>
    </w:lvl>
  </w:abstractNum>
  <w:abstractNum w:abstractNumId="1835885">
    <w:lvl>
      <w:numFmt w:val="bullet"/>
      <w:suff w:val="tab"/>
      <w:lvlText w:val="￮"/>
      <w:rPr>
        <w:color w:val="3370ff"/>
      </w:rPr>
    </w:lvl>
  </w:abstractNum>
  <w:abstractNum w:abstractNumId="1835886">
    <w:lvl>
      <w:numFmt w:val="bullet"/>
      <w:suff w:val="tab"/>
      <w:lvlText w:val="￮"/>
      <w:rPr>
        <w:color w:val="3370ff"/>
      </w:rPr>
    </w:lvl>
  </w:abstractNum>
  <w:abstractNum w:abstractNumId="1835887">
    <w:lvl>
      <w:numFmt w:val="bullet"/>
      <w:suff w:val="tab"/>
      <w:lvlText w:val="￮"/>
      <w:rPr>
        <w:color w:val="3370ff"/>
      </w:rPr>
    </w:lvl>
  </w:abstractNum>
  <w:abstractNum w:abstractNumId="1835888">
    <w:lvl>
      <w:numFmt w:val="bullet"/>
      <w:suff w:val="tab"/>
      <w:lvlText w:val="￮"/>
      <w:rPr>
        <w:color w:val="3370ff"/>
      </w:rPr>
    </w:lvl>
  </w:abstractNum>
  <w:abstractNum w:abstractNumId="1835889">
    <w:lvl>
      <w:numFmt w:val="bullet"/>
      <w:suff w:val="tab"/>
      <w:lvlText w:val="￮"/>
      <w:rPr>
        <w:color w:val="3370ff"/>
      </w:rPr>
    </w:lvl>
  </w:abstractNum>
  <w:abstractNum w:abstractNumId="1835890">
    <w:lvl>
      <w:start w:val="1"/>
      <w:numFmt w:val="decimal"/>
      <w:suff w:val="tab"/>
      <w:lvlText w:val="%1."/>
      <w:rPr>
        <w:color w:val="3370ff"/>
      </w:rPr>
    </w:lvl>
  </w:abstractNum>
  <w:abstractNum w:abstractNumId="1835891">
    <w:lvl>
      <w:start w:val="2"/>
      <w:numFmt w:val="decimal"/>
      <w:suff w:val="tab"/>
      <w:lvlText w:val="%1."/>
      <w:rPr>
        <w:color w:val="3370ff"/>
      </w:rPr>
    </w:lvl>
  </w:abstractNum>
  <w:abstractNum w:abstractNumId="1835892">
    <w:lvl>
      <w:start w:val="3"/>
      <w:numFmt w:val="decimal"/>
      <w:suff w:val="tab"/>
      <w:lvlText w:val="%1."/>
      <w:rPr>
        <w:color w:val="3370ff"/>
      </w:rPr>
    </w:lvl>
  </w:abstractNum>
  <w:abstractNum w:abstractNumId="1835893">
    <w:lvl>
      <w:start w:val="4"/>
      <w:numFmt w:val="decimal"/>
      <w:suff w:val="tab"/>
      <w:lvlText w:val="%1."/>
      <w:rPr>
        <w:color w:val="3370ff"/>
      </w:rPr>
    </w:lvl>
  </w:abstractNum>
  <w:abstractNum w:abstractNumId="1835894">
    <w:lvl>
      <w:start w:val="5"/>
      <w:numFmt w:val="decimal"/>
      <w:suff w:val="tab"/>
      <w:lvlText w:val="%1."/>
      <w:rPr>
        <w:color w:val="3370ff"/>
      </w:rPr>
    </w:lvl>
  </w:abstractNum>
  <w:abstractNum w:abstractNumId="1835895">
    <w:lvl>
      <w:start w:val="1"/>
      <w:numFmt w:val="decimal"/>
      <w:suff w:val="tab"/>
      <w:lvlText w:val="%1."/>
      <w:rPr>
        <w:color w:val="3370ff"/>
      </w:rPr>
    </w:lvl>
  </w:abstractNum>
  <w:abstractNum w:abstractNumId="1835896">
    <w:lvl>
      <w:start w:val="2"/>
      <w:numFmt w:val="decimal"/>
      <w:suff w:val="tab"/>
      <w:lvlText w:val="%1."/>
      <w:rPr>
        <w:color w:val="3370ff"/>
      </w:rPr>
    </w:lvl>
  </w:abstractNum>
  <w:abstractNum w:abstractNumId="1835897">
    <w:lvl>
      <w:numFmt w:val="bullet"/>
      <w:suff w:val="tab"/>
      <w:lvlText w:val="￮"/>
      <w:rPr>
        <w:color w:val="3370ff"/>
      </w:rPr>
    </w:lvl>
  </w:abstractNum>
  <w:abstractNum w:abstractNumId="1835898">
    <w:lvl>
      <w:numFmt w:val="bullet"/>
      <w:suff w:val="tab"/>
      <w:lvlText w:val="￮"/>
      <w:rPr>
        <w:color w:val="3370ff"/>
      </w:rPr>
    </w:lvl>
  </w:abstractNum>
  <w:abstractNum w:abstractNumId="1835899">
    <w:lvl>
      <w:numFmt w:val="bullet"/>
      <w:suff w:val="tab"/>
      <w:lvlText w:val="￮"/>
      <w:rPr>
        <w:color w:val="3370ff"/>
      </w:rPr>
    </w:lvl>
  </w:abstractNum>
  <w:abstractNum w:abstractNumId="1835900">
    <w:lvl>
      <w:numFmt w:val="bullet"/>
      <w:suff w:val="tab"/>
      <w:lvlText w:val="￮"/>
      <w:rPr>
        <w:color w:val="3370ff"/>
      </w:rPr>
    </w:lvl>
  </w:abstractNum>
  <w:abstractNum w:abstractNumId="1835901">
    <w:lvl>
      <w:numFmt w:val="bullet"/>
      <w:suff w:val="tab"/>
      <w:lvlText w:val="￮"/>
      <w:rPr>
        <w:color w:val="3370ff"/>
      </w:rPr>
    </w:lvl>
  </w:abstractNum>
  <w:abstractNum w:abstractNumId="1835902">
    <w:lvl>
      <w:numFmt w:val="bullet"/>
      <w:suff w:val="tab"/>
      <w:lvlText w:val="￮"/>
      <w:rPr>
        <w:color w:val="3370ff"/>
      </w:rPr>
    </w:lvl>
  </w:abstractNum>
  <w:abstractNum w:abstractNumId="1835903">
    <w:lvl>
      <w:numFmt w:val="bullet"/>
      <w:suff w:val="tab"/>
      <w:lvlText w:val="￮"/>
      <w:rPr>
        <w:color w:val="3370ff"/>
      </w:rPr>
    </w:lvl>
  </w:abstractNum>
  <w:abstractNum w:abstractNumId="1835904">
    <w:lvl>
      <w:numFmt w:val="bullet"/>
      <w:suff w:val="tab"/>
      <w:lvlText w:val="￮"/>
      <w:rPr>
        <w:color w:val="3370ff"/>
      </w:rPr>
    </w:lvl>
  </w:abstractNum>
  <w:abstractNum w:abstractNumId="1835905">
    <w:lvl>
      <w:numFmt w:val="bullet"/>
      <w:suff w:val="tab"/>
      <w:lvlText w:val="￮"/>
      <w:rPr>
        <w:color w:val="3370ff"/>
      </w:rPr>
    </w:lvl>
  </w:abstractNum>
  <w:abstractNum w:abstractNumId="1835906">
    <w:lvl>
      <w:numFmt w:val="bullet"/>
      <w:suff w:val="tab"/>
      <w:lvlText w:val="￮"/>
      <w:rPr>
        <w:color w:val="3370ff"/>
      </w:rPr>
    </w:lvl>
  </w:abstractNum>
  <w:abstractNum w:abstractNumId="1835907">
    <w:lvl>
      <w:start w:val="1"/>
      <w:numFmt w:val="decimal"/>
      <w:suff w:val="tab"/>
      <w:lvlText w:val="%1."/>
      <w:rPr>
        <w:color w:val="3370ff"/>
      </w:rPr>
    </w:lvl>
  </w:abstractNum>
  <w:abstractNum w:abstractNumId="1835908">
    <w:lvl>
      <w:start w:val="2"/>
      <w:numFmt w:val="decimal"/>
      <w:suff w:val="tab"/>
      <w:lvlText w:val="%1."/>
      <w:rPr>
        <w:color w:val="3370ff"/>
      </w:rPr>
    </w:lvl>
  </w:abstractNum>
  <w:abstractNum w:abstractNumId="1835909">
    <w:lvl>
      <w:start w:val="3"/>
      <w:numFmt w:val="decimal"/>
      <w:suff w:val="tab"/>
      <w:lvlText w:val="%1."/>
      <w:rPr>
        <w:color w:val="3370ff"/>
      </w:rPr>
    </w:lvl>
  </w:abstractNum>
  <w:abstractNum w:abstractNumId="1835910">
    <w:lvl>
      <w:start w:val="4"/>
      <w:numFmt w:val="decimal"/>
      <w:suff w:val="tab"/>
      <w:lvlText w:val="%1."/>
      <w:rPr>
        <w:color w:val="3370ff"/>
      </w:rPr>
    </w:lvl>
  </w:abstractNum>
  <w:abstractNum w:abstractNumId="1835911">
    <w:lvl>
      <w:start w:val="1"/>
      <w:numFmt w:val="decimal"/>
      <w:suff w:val="tab"/>
      <w:lvlText w:val="%1."/>
      <w:rPr>
        <w:color w:val="3370ff"/>
      </w:rPr>
    </w:lvl>
  </w:abstractNum>
  <w:abstractNum w:abstractNumId="1835912">
    <w:lvl>
      <w:start w:val="2"/>
      <w:numFmt w:val="decimal"/>
      <w:suff w:val="tab"/>
      <w:lvlText w:val="%1."/>
      <w:rPr>
        <w:color w:val="3370ff"/>
      </w:rPr>
    </w:lvl>
  </w:abstractNum>
  <w:abstractNum w:abstractNumId="1835913">
    <w:lvl>
      <w:numFmt w:val="bullet"/>
      <w:suff w:val="tab"/>
      <w:lvlText w:val="￮"/>
      <w:rPr>
        <w:color w:val="3370ff"/>
      </w:rPr>
    </w:lvl>
  </w:abstractNum>
  <w:abstractNum w:abstractNumId="1835914">
    <w:lvl>
      <w:numFmt w:val="bullet"/>
      <w:suff w:val="tab"/>
      <w:lvlText w:val="￮"/>
      <w:rPr>
        <w:color w:val="3370ff"/>
      </w:rPr>
    </w:lvl>
  </w:abstractNum>
  <w:abstractNum w:abstractNumId="1835915">
    <w:lvl>
      <w:numFmt w:val="bullet"/>
      <w:suff w:val="tab"/>
      <w:lvlText w:val="￮"/>
      <w:rPr>
        <w:color w:val="3370ff"/>
      </w:rPr>
    </w:lvl>
  </w:abstractNum>
  <w:abstractNum w:abstractNumId="1835916">
    <w:lvl>
      <w:numFmt w:val="bullet"/>
      <w:suff w:val="tab"/>
      <w:lvlText w:val="￮"/>
      <w:rPr>
        <w:color w:val="3370ff"/>
      </w:rPr>
    </w:lvl>
  </w:abstractNum>
  <w:abstractNum w:abstractNumId="1835917">
    <w:lvl>
      <w:numFmt w:val="bullet"/>
      <w:suff w:val="tab"/>
      <w:lvlText w:val="￮"/>
      <w:rPr>
        <w:color w:val="3370ff"/>
      </w:rPr>
    </w:lvl>
  </w:abstractNum>
  <w:abstractNum w:abstractNumId="1835918">
    <w:lvl>
      <w:numFmt w:val="bullet"/>
      <w:suff w:val="tab"/>
      <w:lvlText w:val="￮"/>
      <w:rPr>
        <w:color w:val="3370ff"/>
      </w:rPr>
    </w:lvl>
  </w:abstractNum>
  <w:abstractNum w:abstractNumId="1835919">
    <w:lvl>
      <w:numFmt w:val="bullet"/>
      <w:suff w:val="tab"/>
      <w:lvlText w:val="￮"/>
      <w:rPr>
        <w:color w:val="3370ff"/>
      </w:rPr>
    </w:lvl>
  </w:abstractNum>
  <w:abstractNum w:abstractNumId="1835920">
    <w:lvl>
      <w:numFmt w:val="bullet"/>
      <w:suff w:val="tab"/>
      <w:lvlText w:val="￮"/>
      <w:rPr>
        <w:color w:val="3370ff"/>
      </w:rPr>
    </w:lvl>
  </w:abstractNum>
  <w:abstractNum w:abstractNumId="1835921">
    <w:lvl>
      <w:numFmt w:val="bullet"/>
      <w:suff w:val="tab"/>
      <w:lvlText w:val="￮"/>
      <w:rPr>
        <w:color w:val="3370ff"/>
      </w:rPr>
    </w:lvl>
  </w:abstractNum>
  <w:abstractNum w:abstractNumId="1835922">
    <w:lvl>
      <w:numFmt w:val="bullet"/>
      <w:suff w:val="tab"/>
      <w:lvlText w:val="￮"/>
      <w:rPr>
        <w:color w:val="3370ff"/>
      </w:rPr>
    </w:lvl>
  </w:abstractNum>
  <w:abstractNum w:abstractNumId="1835923">
    <w:lvl>
      <w:start w:val="1"/>
      <w:numFmt w:val="decimal"/>
      <w:suff w:val="tab"/>
      <w:lvlText w:val="%1."/>
      <w:rPr>
        <w:color w:val="3370ff"/>
      </w:rPr>
    </w:lvl>
  </w:abstractNum>
  <w:abstractNum w:abstractNumId="1835924">
    <w:lvl>
      <w:numFmt w:val="bullet"/>
      <w:suff w:val="tab"/>
      <w:lvlText w:val="￮"/>
      <w:rPr>
        <w:color w:val="3370ff"/>
      </w:rPr>
    </w:lvl>
  </w:abstractNum>
  <w:abstractNum w:abstractNumId="1835925">
    <w:lvl>
      <w:numFmt w:val="bullet"/>
      <w:suff w:val="tab"/>
      <w:lvlText w:val="￮"/>
      <w:rPr>
        <w:color w:val="3370ff"/>
      </w:rPr>
    </w:lvl>
  </w:abstractNum>
  <w:abstractNum w:abstractNumId="1835926">
    <w:lvl>
      <w:start w:val="2"/>
      <w:numFmt w:val="decimal"/>
      <w:suff w:val="tab"/>
      <w:lvlText w:val="%1."/>
      <w:rPr>
        <w:color w:val="3370ff"/>
      </w:rPr>
    </w:lvl>
  </w:abstractNum>
  <w:abstractNum w:abstractNumId="1835927">
    <w:lvl>
      <w:numFmt w:val="bullet"/>
      <w:suff w:val="tab"/>
      <w:lvlText w:val="￮"/>
      <w:rPr>
        <w:color w:val="3370ff"/>
      </w:rPr>
    </w:lvl>
  </w:abstractNum>
  <w:abstractNum w:abstractNumId="1835928">
    <w:lvl>
      <w:numFmt w:val="bullet"/>
      <w:suff w:val="tab"/>
      <w:lvlText w:val="￮"/>
      <w:rPr>
        <w:color w:val="3370ff"/>
      </w:rPr>
    </w:lvl>
  </w:abstractNum>
  <w:abstractNum w:abstractNumId="1835929">
    <w:lvl>
      <w:numFmt w:val="bullet"/>
      <w:suff w:val="tab"/>
      <w:lvlText w:val="￮"/>
      <w:rPr>
        <w:color w:val="3370ff"/>
      </w:rPr>
    </w:lvl>
  </w:abstractNum>
  <w:abstractNum w:abstractNumId="1835930">
    <w:lvl>
      <w:numFmt w:val="bullet"/>
      <w:suff w:val="tab"/>
      <w:lvlText w:val="￮"/>
      <w:rPr>
        <w:color w:val="3370ff"/>
      </w:rPr>
    </w:lvl>
  </w:abstractNum>
  <w:abstractNum w:abstractNumId="1835931">
    <w:lvl>
      <w:start w:val="3"/>
      <w:numFmt w:val="decimal"/>
      <w:suff w:val="tab"/>
      <w:lvlText w:val="%1."/>
      <w:rPr>
        <w:color w:val="3370ff"/>
      </w:rPr>
    </w:lvl>
  </w:abstractNum>
  <w:abstractNum w:abstractNumId="1835932">
    <w:lvl>
      <w:start w:val="1"/>
      <w:numFmt w:val="decimal"/>
      <w:suff w:val="tab"/>
      <w:lvlText w:val="%1."/>
      <w:rPr>
        <w:color w:val="3370ff"/>
      </w:rPr>
    </w:lvl>
  </w:abstractNum>
  <w:abstractNum w:abstractNumId="1835933">
    <w:lvl>
      <w:start w:val="2"/>
      <w:numFmt w:val="decimal"/>
      <w:suff w:val="tab"/>
      <w:lvlText w:val="%1."/>
      <w:rPr>
        <w:color w:val="3370ff"/>
      </w:rPr>
    </w:lvl>
  </w:abstractNum>
  <w:abstractNum w:abstractNumId="1835934">
    <w:lvl>
      <w:numFmt w:val="bullet"/>
      <w:suff w:val="tab"/>
      <w:lvlText w:val="￮"/>
      <w:rPr>
        <w:color w:val="3370ff"/>
      </w:rPr>
    </w:lvl>
  </w:abstractNum>
  <w:abstractNum w:abstractNumId="1835935">
    <w:lvl>
      <w:numFmt w:val="bullet"/>
      <w:suff w:val="tab"/>
      <w:lvlText w:val="￮"/>
      <w:rPr>
        <w:color w:val="3370ff"/>
      </w:rPr>
    </w:lvl>
  </w:abstractNum>
  <w:abstractNum w:abstractNumId="1835936">
    <w:lvl>
      <w:numFmt w:val="bullet"/>
      <w:suff w:val="tab"/>
      <w:lvlText w:val="￮"/>
      <w:rPr>
        <w:color w:val="3370ff"/>
      </w:rPr>
    </w:lvl>
  </w:abstractNum>
  <w:abstractNum w:abstractNumId="1835937">
    <w:lvl>
      <w:numFmt w:val="bullet"/>
      <w:suff w:val="tab"/>
      <w:lvlText w:val="￮"/>
      <w:rPr>
        <w:color w:val="3370ff"/>
      </w:rPr>
    </w:lvl>
  </w:abstractNum>
  <w:abstractNum w:abstractNumId="1835938">
    <w:lvl>
      <w:numFmt w:val="bullet"/>
      <w:suff w:val="tab"/>
      <w:lvlText w:val="￮"/>
      <w:rPr>
        <w:color w:val="3370ff"/>
      </w:rPr>
    </w:lvl>
  </w:abstractNum>
  <w:abstractNum w:abstractNumId="1835939">
    <w:lvl>
      <w:numFmt w:val="bullet"/>
      <w:suff w:val="tab"/>
      <w:lvlText w:val="￮"/>
      <w:rPr>
        <w:color w:val="3370ff"/>
      </w:rPr>
    </w:lvl>
  </w:abstractNum>
  <w:abstractNum w:abstractNumId="1835940">
    <w:lvl>
      <w:numFmt w:val="bullet"/>
      <w:suff w:val="tab"/>
      <w:lvlText w:val="￮"/>
      <w:rPr>
        <w:color w:val="3370ff"/>
      </w:rPr>
    </w:lvl>
  </w:abstractNum>
  <w:abstractNum w:abstractNumId="1835941">
    <w:lvl>
      <w:numFmt w:val="bullet"/>
      <w:suff w:val="tab"/>
      <w:lvlText w:val="￮"/>
      <w:rPr>
        <w:color w:val="3370ff"/>
      </w:rPr>
    </w:lvl>
  </w:abstractNum>
  <w:abstractNum w:abstractNumId="1835942">
    <w:lvl>
      <w:numFmt w:val="bullet"/>
      <w:suff w:val="tab"/>
      <w:lvlText w:val="￮"/>
      <w:rPr>
        <w:color w:val="3370ff"/>
      </w:rPr>
    </w:lvl>
  </w:abstractNum>
  <w:abstractNum w:abstractNumId="1835943">
    <w:lvl>
      <w:numFmt w:val="bullet"/>
      <w:suff w:val="tab"/>
      <w:lvlText w:val="￮"/>
      <w:rPr>
        <w:color w:val="3370ff"/>
      </w:rPr>
    </w:lvl>
  </w:abstractNum>
  <w:abstractNum w:abstractNumId="1835944">
    <w:lvl>
      <w:numFmt w:val="bullet"/>
      <w:suff w:val="tab"/>
      <w:lvlText w:val="￮"/>
      <w:rPr>
        <w:color w:val="3370ff"/>
      </w:rPr>
    </w:lvl>
  </w:abstractNum>
  <w:abstractNum w:abstractNumId="1835945">
    <w:lvl>
      <w:numFmt w:val="bullet"/>
      <w:suff w:val="tab"/>
      <w:lvlText w:val="￮"/>
      <w:rPr>
        <w:color w:val="3370ff"/>
      </w:rPr>
    </w:lvl>
  </w:abstractNum>
  <w:abstractNum w:abstractNumId="1835946">
    <w:lvl>
      <w:numFmt w:val="bullet"/>
      <w:suff w:val="tab"/>
      <w:lvlText w:val="￮"/>
      <w:rPr>
        <w:color w:val="3370ff"/>
      </w:rPr>
    </w:lvl>
  </w:abstractNum>
  <w:abstractNum w:abstractNumId="1835947">
    <w:lvl>
      <w:numFmt w:val="bullet"/>
      <w:suff w:val="tab"/>
      <w:lvlText w:val="￮"/>
      <w:rPr>
        <w:color w:val="3370ff"/>
      </w:rPr>
    </w:lvl>
  </w:abstractNum>
  <w:abstractNum w:abstractNumId="1835948">
    <w:lvl>
      <w:numFmt w:val="bullet"/>
      <w:suff w:val="tab"/>
      <w:lvlText w:val="￮"/>
      <w:rPr>
        <w:color w:val="3370ff"/>
      </w:rPr>
    </w:lvl>
  </w:abstractNum>
  <w:num w:numId="1">
    <w:abstractNumId w:val="1835824"/>
  </w:num>
  <w:num w:numId="2">
    <w:abstractNumId w:val="1835825"/>
  </w:num>
  <w:num w:numId="3">
    <w:abstractNumId w:val="1835826"/>
  </w:num>
  <w:num w:numId="4">
    <w:abstractNumId w:val="1835827"/>
  </w:num>
  <w:num w:numId="5">
    <w:abstractNumId w:val="1835828"/>
  </w:num>
  <w:num w:numId="6">
    <w:abstractNumId w:val="1835829"/>
  </w:num>
  <w:num w:numId="7">
    <w:abstractNumId w:val="1835830"/>
  </w:num>
  <w:num w:numId="8">
    <w:abstractNumId w:val="1835831"/>
  </w:num>
  <w:num w:numId="9">
    <w:abstractNumId w:val="1835832"/>
  </w:num>
  <w:num w:numId="10">
    <w:abstractNumId w:val="1835833"/>
  </w:num>
  <w:num w:numId="11">
    <w:abstractNumId w:val="1835834"/>
  </w:num>
  <w:num w:numId="12">
    <w:abstractNumId w:val="1835835"/>
  </w:num>
  <w:num w:numId="13">
    <w:abstractNumId w:val="1835836"/>
  </w:num>
  <w:num w:numId="14">
    <w:abstractNumId w:val="1835837"/>
  </w:num>
  <w:num w:numId="15">
    <w:abstractNumId w:val="1835838"/>
  </w:num>
  <w:num w:numId="16">
    <w:abstractNumId w:val="1835839"/>
  </w:num>
  <w:num w:numId="17">
    <w:abstractNumId w:val="1835840"/>
  </w:num>
  <w:num w:numId="18">
    <w:abstractNumId w:val="1835841"/>
  </w:num>
  <w:num w:numId="19">
    <w:abstractNumId w:val="1835842"/>
  </w:num>
  <w:num w:numId="20">
    <w:abstractNumId w:val="1835843"/>
  </w:num>
  <w:num w:numId="21">
    <w:abstractNumId w:val="1835844"/>
  </w:num>
  <w:num w:numId="22">
    <w:abstractNumId w:val="1835845"/>
  </w:num>
  <w:num w:numId="23">
    <w:abstractNumId w:val="1835846"/>
  </w:num>
  <w:num w:numId="24">
    <w:abstractNumId w:val="1835847"/>
  </w:num>
  <w:num w:numId="25">
    <w:abstractNumId w:val="1835848"/>
  </w:num>
  <w:num w:numId="26">
    <w:abstractNumId w:val="1835849"/>
  </w:num>
  <w:num w:numId="27">
    <w:abstractNumId w:val="1835850"/>
  </w:num>
  <w:num w:numId="28">
    <w:abstractNumId w:val="1835851"/>
  </w:num>
  <w:num w:numId="29">
    <w:abstractNumId w:val="1835852"/>
  </w:num>
  <w:num w:numId="30">
    <w:abstractNumId w:val="1835853"/>
  </w:num>
  <w:num w:numId="31">
    <w:abstractNumId w:val="1835854"/>
  </w:num>
  <w:num w:numId="32">
    <w:abstractNumId w:val="1835855"/>
  </w:num>
  <w:num w:numId="33">
    <w:abstractNumId w:val="1835856"/>
  </w:num>
  <w:num w:numId="34">
    <w:abstractNumId w:val="1835857"/>
  </w:num>
  <w:num w:numId="35">
    <w:abstractNumId w:val="1835858"/>
  </w:num>
  <w:num w:numId="36">
    <w:abstractNumId w:val="1835859"/>
  </w:num>
  <w:num w:numId="37">
    <w:abstractNumId w:val="1835860"/>
  </w:num>
  <w:num w:numId="38">
    <w:abstractNumId w:val="1835861"/>
  </w:num>
  <w:num w:numId="39">
    <w:abstractNumId w:val="1835862"/>
  </w:num>
  <w:num w:numId="40">
    <w:abstractNumId w:val="1835863"/>
  </w:num>
  <w:num w:numId="41">
    <w:abstractNumId w:val="1835864"/>
  </w:num>
  <w:num w:numId="42">
    <w:abstractNumId w:val="1835865"/>
  </w:num>
  <w:num w:numId="43">
    <w:abstractNumId w:val="1835866"/>
  </w:num>
  <w:num w:numId="44">
    <w:abstractNumId w:val="1835867"/>
  </w:num>
  <w:num w:numId="45">
    <w:abstractNumId w:val="1835868"/>
  </w:num>
  <w:num w:numId="46">
    <w:abstractNumId w:val="1835869"/>
  </w:num>
  <w:num w:numId="47">
    <w:abstractNumId w:val="1835870"/>
  </w:num>
  <w:num w:numId="48">
    <w:abstractNumId w:val="1835871"/>
  </w:num>
  <w:num w:numId="49">
    <w:abstractNumId w:val="1835872"/>
  </w:num>
  <w:num w:numId="50">
    <w:abstractNumId w:val="1835873"/>
  </w:num>
  <w:num w:numId="51">
    <w:abstractNumId w:val="1835874"/>
  </w:num>
  <w:num w:numId="52">
    <w:abstractNumId w:val="1835875"/>
  </w:num>
  <w:num w:numId="53">
    <w:abstractNumId w:val="1835876"/>
  </w:num>
  <w:num w:numId="54">
    <w:abstractNumId w:val="1835877"/>
  </w:num>
  <w:num w:numId="55">
    <w:abstractNumId w:val="1835878"/>
  </w:num>
  <w:num w:numId="56">
    <w:abstractNumId w:val="1835879"/>
  </w:num>
  <w:num w:numId="57">
    <w:abstractNumId w:val="1835880"/>
  </w:num>
  <w:num w:numId="58">
    <w:abstractNumId w:val="1835881"/>
  </w:num>
  <w:num w:numId="59">
    <w:abstractNumId w:val="1835882"/>
  </w:num>
  <w:num w:numId="60">
    <w:abstractNumId w:val="1835883"/>
  </w:num>
  <w:num w:numId="61">
    <w:abstractNumId w:val="1835884"/>
  </w:num>
  <w:num w:numId="62">
    <w:abstractNumId w:val="1835885"/>
  </w:num>
  <w:num w:numId="63">
    <w:abstractNumId w:val="1835886"/>
  </w:num>
  <w:num w:numId="64">
    <w:abstractNumId w:val="1835887"/>
  </w:num>
  <w:num w:numId="65">
    <w:abstractNumId w:val="1835888"/>
  </w:num>
  <w:num w:numId="66">
    <w:abstractNumId w:val="1835889"/>
  </w:num>
  <w:num w:numId="67">
    <w:abstractNumId w:val="1835890"/>
  </w:num>
  <w:num w:numId="68">
    <w:abstractNumId w:val="1835891"/>
  </w:num>
  <w:num w:numId="69">
    <w:abstractNumId w:val="1835892"/>
  </w:num>
  <w:num w:numId="70">
    <w:abstractNumId w:val="1835893"/>
  </w:num>
  <w:num w:numId="71">
    <w:abstractNumId w:val="1835894"/>
  </w:num>
  <w:num w:numId="72">
    <w:abstractNumId w:val="1835895"/>
  </w:num>
  <w:num w:numId="73">
    <w:abstractNumId w:val="1835896"/>
  </w:num>
  <w:num w:numId="74">
    <w:abstractNumId w:val="1835897"/>
  </w:num>
  <w:num w:numId="75">
    <w:abstractNumId w:val="1835898"/>
  </w:num>
  <w:num w:numId="76">
    <w:abstractNumId w:val="1835899"/>
  </w:num>
  <w:num w:numId="77">
    <w:abstractNumId w:val="1835900"/>
  </w:num>
  <w:num w:numId="78">
    <w:abstractNumId w:val="1835901"/>
  </w:num>
  <w:num w:numId="79">
    <w:abstractNumId w:val="1835902"/>
  </w:num>
  <w:num w:numId="80">
    <w:abstractNumId w:val="1835903"/>
  </w:num>
  <w:num w:numId="81">
    <w:abstractNumId w:val="1835904"/>
  </w:num>
  <w:num w:numId="82">
    <w:abstractNumId w:val="1835905"/>
  </w:num>
  <w:num w:numId="83">
    <w:abstractNumId w:val="1835906"/>
  </w:num>
  <w:num w:numId="84">
    <w:abstractNumId w:val="1835907"/>
  </w:num>
  <w:num w:numId="85">
    <w:abstractNumId w:val="1835908"/>
  </w:num>
  <w:num w:numId="86">
    <w:abstractNumId w:val="1835909"/>
  </w:num>
  <w:num w:numId="87">
    <w:abstractNumId w:val="1835910"/>
  </w:num>
  <w:num w:numId="88">
    <w:abstractNumId w:val="1835911"/>
  </w:num>
  <w:num w:numId="89">
    <w:abstractNumId w:val="1835912"/>
  </w:num>
  <w:num w:numId="90">
    <w:abstractNumId w:val="1835913"/>
  </w:num>
  <w:num w:numId="91">
    <w:abstractNumId w:val="1835914"/>
  </w:num>
  <w:num w:numId="92">
    <w:abstractNumId w:val="1835915"/>
  </w:num>
  <w:num w:numId="93">
    <w:abstractNumId w:val="1835916"/>
  </w:num>
  <w:num w:numId="94">
    <w:abstractNumId w:val="1835917"/>
  </w:num>
  <w:num w:numId="95">
    <w:abstractNumId w:val="1835918"/>
  </w:num>
  <w:num w:numId="96">
    <w:abstractNumId w:val="1835919"/>
  </w:num>
  <w:num w:numId="97">
    <w:abstractNumId w:val="1835920"/>
  </w:num>
  <w:num w:numId="98">
    <w:abstractNumId w:val="1835921"/>
  </w:num>
  <w:num w:numId="99">
    <w:abstractNumId w:val="1835922"/>
  </w:num>
  <w:num w:numId="100">
    <w:abstractNumId w:val="1835923"/>
  </w:num>
  <w:num w:numId="101">
    <w:abstractNumId w:val="1835924"/>
  </w:num>
  <w:num w:numId="102">
    <w:abstractNumId w:val="1835925"/>
  </w:num>
  <w:num w:numId="103">
    <w:abstractNumId w:val="1835926"/>
  </w:num>
  <w:num w:numId="104">
    <w:abstractNumId w:val="1835927"/>
  </w:num>
  <w:num w:numId="105">
    <w:abstractNumId w:val="1835928"/>
  </w:num>
  <w:num w:numId="106">
    <w:abstractNumId w:val="1835929"/>
  </w:num>
  <w:num w:numId="107">
    <w:abstractNumId w:val="1835930"/>
  </w:num>
  <w:num w:numId="108">
    <w:abstractNumId w:val="1835931"/>
  </w:num>
  <w:num w:numId="109">
    <w:abstractNumId w:val="1835932"/>
  </w:num>
  <w:num w:numId="110">
    <w:abstractNumId w:val="1835933"/>
  </w:num>
  <w:num w:numId="111">
    <w:abstractNumId w:val="1835934"/>
  </w:num>
  <w:num w:numId="112">
    <w:abstractNumId w:val="1835935"/>
  </w:num>
  <w:num w:numId="113">
    <w:abstractNumId w:val="1835936"/>
  </w:num>
  <w:num w:numId="114">
    <w:abstractNumId w:val="1835937"/>
  </w:num>
  <w:num w:numId="115">
    <w:abstractNumId w:val="1835938"/>
  </w:num>
  <w:num w:numId="116">
    <w:abstractNumId w:val="1835939"/>
  </w:num>
  <w:num w:numId="117">
    <w:abstractNumId w:val="1835940"/>
  </w:num>
  <w:num w:numId="118">
    <w:abstractNumId w:val="1835941"/>
  </w:num>
  <w:num w:numId="119">
    <w:abstractNumId w:val="1835942"/>
  </w:num>
  <w:num w:numId="120">
    <w:abstractNumId w:val="1835943"/>
  </w:num>
  <w:num w:numId="121">
    <w:abstractNumId w:val="1835944"/>
  </w:num>
  <w:num w:numId="122">
    <w:abstractNumId w:val="1835945"/>
  </w:num>
  <w:num w:numId="123">
    <w:abstractNumId w:val="1835946"/>
  </w:num>
  <w:num w:numId="124">
    <w:abstractNumId w:val="1835947"/>
  </w:num>
  <w:num w:numId="125">
    <w:abstractNumId w:val="18359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2026-05-30T03:22:05Z</dcterms:created>
  <dc:creator>Apache POI</dc:creator>
</cp:coreProperties>
</file>