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“合规路径诊断”功能说明与路径描述（标注Reference）</w:t>
      </w:r>
    </w:p>
    <w:p>
      <w:pPr>
        <w:pStyle w:val="3"/>
        <w:spacing w:before="300" w:after="120" w:line="288" w:lineRule="auto"/>
        <w:ind w:left="0"/>
        <w:jc w:val="left"/>
        <w:outlineLvl w:val="2"/>
      </w:pPr>
      <w:bookmarkStart w:name="heading_0" w:id="0"/>
      <w:r>
        <w:rPr>
          <w:rFonts w:eastAsia="等线" w:ascii="Arial" w:cs="Arial" w:hAnsi="Arial"/>
          <w:b w:val="true"/>
          <w:sz w:val="30"/>
        </w:rPr>
        <w:t>“合规路径诊断”功能说明：</w:t>
      </w:r>
      <w:bookmarkEnd w:id="0"/>
    </w:p>
    <w:p>
      <w:pPr>
        <w:spacing w:before="120" w:after="120" w:line="288" w:lineRule="auto"/>
        <w:ind w:left="0"/>
        <w:jc w:val="left"/>
      </w:pPr>
      <w:r>
        <w:rPr>
          <w:rFonts w:eastAsia="等线" w:ascii="Arial" w:cs="Arial" w:hAnsi="Arial"/>
          <w:sz w:val="22"/>
        </w:rPr>
        <w:t>用户无需自行解读法规，仅需通过网页表单回答一系列预设的、具有明确选项的封闭式问题。输入信息本质上是关于其数据出境业务场景的关键事实，包括：</w:t>
      </w:r>
    </w:p>
    <w:p>
      <w:pPr>
        <w:numPr>
          <w:numId w:val="1"/>
        </w:numPr>
        <w:spacing w:before="120" w:after="120" w:line="288" w:lineRule="auto"/>
        <w:ind w:left="0"/>
        <w:jc w:val="left"/>
      </w:pPr>
      <w:r>
        <w:rPr>
          <w:rFonts w:eastAsia="等线" w:ascii="Arial" w:cs="Arial" w:hAnsi="Arial"/>
          <w:sz w:val="22"/>
        </w:rPr>
        <w:t>拟出境数据是否包含“重要数据”。</w:t>
      </w:r>
    </w:p>
    <w:p>
      <w:pPr>
        <w:numPr>
          <w:numId w:val="2"/>
        </w:numPr>
        <w:spacing w:before="120" w:after="120" w:line="288" w:lineRule="auto"/>
        <w:ind w:left="0"/>
        <w:jc w:val="left"/>
      </w:pPr>
      <w:r>
        <w:rPr>
          <w:rFonts w:eastAsia="等线" w:ascii="Arial" w:cs="Arial" w:hAnsi="Arial"/>
          <w:sz w:val="22"/>
        </w:rPr>
        <w:t>拟出境数据是否包含“个人信息”。</w:t>
      </w:r>
    </w:p>
    <w:p>
      <w:pPr>
        <w:numPr>
          <w:numId w:val="3"/>
        </w:numPr>
        <w:spacing w:before="120" w:after="120" w:line="288" w:lineRule="auto"/>
        <w:ind w:left="0"/>
        <w:jc w:val="left"/>
      </w:pPr>
      <w:r>
        <w:rPr>
          <w:rFonts w:eastAsia="等线" w:ascii="Arial" w:cs="Arial" w:hAnsi="Arial"/>
          <w:sz w:val="22"/>
        </w:rPr>
        <w:t>如包含个人信息，是否属于法定的豁免情形。</w:t>
      </w:r>
    </w:p>
    <w:p>
      <w:pPr>
        <w:numPr>
          <w:numId w:val="4"/>
        </w:numPr>
        <w:spacing w:before="120" w:after="120" w:line="288" w:lineRule="auto"/>
        <w:ind w:left="0"/>
        <w:jc w:val="left"/>
      </w:pPr>
      <w:r>
        <w:rPr>
          <w:rFonts w:eastAsia="等线" w:ascii="Arial" w:cs="Arial" w:hAnsi="Arial"/>
          <w:sz w:val="22"/>
        </w:rPr>
        <w:t>数据处理者是否为“关键信息基础设施运营者”。</w:t>
      </w:r>
    </w:p>
    <w:p>
      <w:pPr>
        <w:numPr>
          <w:numId w:val="5"/>
        </w:numPr>
        <w:spacing w:before="120" w:after="120" w:line="288" w:lineRule="auto"/>
        <w:ind w:left="0"/>
        <w:jc w:val="left"/>
      </w:pPr>
      <w:r>
        <w:rPr>
          <w:rFonts w:eastAsia="等线" w:ascii="Arial" w:cs="Arial" w:hAnsi="Arial"/>
          <w:sz w:val="22"/>
        </w:rPr>
        <w:t>自当年1月1日起累计拟出境的个人信息类型（一般个人信息或敏感个人信息）及数量规模。</w:t>
      </w:r>
    </w:p>
    <w:p>
      <w:pPr>
        <w:pStyle w:val="3"/>
        <w:spacing w:before="300" w:after="120" w:line="288" w:lineRule="auto"/>
        <w:ind w:left="0"/>
        <w:jc w:val="left"/>
        <w:outlineLvl w:val="2"/>
      </w:pPr>
      <w:bookmarkStart w:name="heading_1" w:id="1"/>
      <w:r>
        <w:rPr>
          <w:rFonts w:eastAsia="等线" w:ascii="Arial" w:cs="Arial" w:hAnsi="Arial"/>
          <w:b w:val="true"/>
          <w:sz w:val="30"/>
        </w:rPr>
        <w:t>“合规路径诊断”路径描述：</w:t>
      </w:r>
      <w:bookmarkEnd w:id="1"/>
    </w:p>
    <w:p>
      <w:pPr>
        <w:pStyle w:val="4"/>
        <w:spacing w:before="260" w:after="120" w:line="288" w:lineRule="auto"/>
        <w:ind w:left="0"/>
        <w:jc w:val="left"/>
        <w:outlineLvl w:val="3"/>
      </w:pPr>
      <w:bookmarkStart w:name="heading_2" w:id="2"/>
      <w:r>
        <w:rPr>
          <w:rFonts w:eastAsia="等线" w:ascii="Arial" w:cs="Arial" w:hAnsi="Arial"/>
          <w:b w:val="true"/>
          <w:sz w:val="28"/>
        </w:rPr>
        <w:t xml:space="preserve">1.用户输入 </w:t>
      </w:r>
      <w:bookmarkEnd w:id="2"/>
    </w:p>
    <w:p>
      <w:pPr>
        <w:spacing w:before="120" w:after="120" w:line="288" w:lineRule="auto"/>
        <w:ind w:left="0"/>
        <w:jc w:val="left"/>
      </w:pPr>
      <w:r>
        <w:rPr>
          <w:rFonts w:eastAsia="等线" w:ascii="Arial" w:cs="Arial" w:hAnsi="Arial"/>
          <w:sz w:val="22"/>
        </w:rPr>
        <w:t>用户通过网页表单回答一系列预设的、具有明确选项的封闭式问题。输入信息本质上是关于其数据出境业务场景的关键事实。系统设计需考虑用户可能对某些事实不确定（回答“不知道”），此时需引导用户提供更详细的描述性信息以供进一步分析。</w:t>
      </w:r>
    </w:p>
    <w:p>
      <w:pPr>
        <w:pStyle w:val="4"/>
        <w:spacing w:before="260" w:after="120" w:line="288" w:lineRule="auto"/>
        <w:ind w:left="0"/>
        <w:jc w:val="left"/>
        <w:outlineLvl w:val="3"/>
      </w:pPr>
      <w:bookmarkStart w:name="heading_3" w:id="3"/>
      <w:r>
        <w:rPr>
          <w:rFonts w:eastAsia="等线" w:ascii="Arial" w:cs="Arial" w:hAnsi="Arial"/>
          <w:b w:val="true"/>
          <w:sz w:val="28"/>
        </w:rPr>
        <w:t>2.诊断步骤与规则引擎逻辑</w:t>
      </w:r>
      <w:bookmarkEnd w:id="3"/>
    </w:p>
    <w:p>
      <w:pPr>
        <w:spacing w:before="120" w:after="120" w:line="288" w:lineRule="auto"/>
        <w:ind w:left="0"/>
        <w:jc w:val="left"/>
      </w:pPr>
      <w:r>
        <w:rPr>
          <w:rFonts w:eastAsia="等线" w:ascii="Arial" w:cs="Arial" w:hAnsi="Arial"/>
          <w:sz w:val="22"/>
        </w:rPr>
        <w:t>系统诊断流程严格按照预设的决策树顺序执行，每一步的判断都基于特定法律条款。当用户回答“不知道”时，系统将启动次级信息收集与判断流程。</w:t>
      </w:r>
    </w:p>
    <w:p>
      <w:pPr>
        <w:spacing w:before="120" w:after="120" w:line="288" w:lineRule="auto"/>
        <w:ind w:left="0"/>
        <w:jc w:val="left"/>
      </w:pPr>
      <w:r>
        <w:rPr>
          <w:rFonts w:eastAsia="等线" w:ascii="Arial" w:cs="Arial" w:hAnsi="Arial"/>
          <w:b w:val="true"/>
          <w:sz w:val="22"/>
        </w:rPr>
        <w:t>步骤一：识别“重要数据”出境义务</w:t>
      </w:r>
    </w:p>
    <w:p>
      <w:pPr>
        <w:numPr>
          <w:numId w:val="6"/>
        </w:numPr>
        <w:spacing w:before="120" w:after="120" w:line="288" w:lineRule="auto"/>
        <w:ind w:left="0"/>
        <w:jc w:val="left"/>
      </w:pPr>
      <w:r>
        <w:rPr>
          <w:rFonts w:eastAsia="等线" w:ascii="Arial" w:cs="Arial" w:hAnsi="Arial"/>
          <w:b w:val="true"/>
          <w:sz w:val="22"/>
        </w:rPr>
        <w:t>用户输入</w:t>
      </w:r>
      <w:r>
        <w:rPr>
          <w:rFonts w:eastAsia="等线" w:ascii="Arial" w:cs="Arial" w:hAnsi="Arial"/>
          <w:sz w:val="22"/>
        </w:rPr>
        <w:t>：回答“本次向境外提供的数据中，是否包含被相关部门或您所在行业认定为‘重要数据’的数据？” 选项为：是、否、不知道。</w:t>
      </w:r>
    </w:p>
    <w:p>
      <w:pPr>
        <w:numPr>
          <w:numId w:val="7"/>
        </w:numPr>
        <w:spacing w:before="120" w:after="120" w:line="288" w:lineRule="auto"/>
        <w:ind w:left="0"/>
        <w:jc w:val="left"/>
      </w:pPr>
      <w:r>
        <w:rPr>
          <w:rFonts w:eastAsia="等线" w:ascii="Arial" w:cs="Arial" w:hAnsi="Arial"/>
          <w:b w:val="true"/>
          <w:sz w:val="22"/>
        </w:rPr>
        <w:t>系统诊断逻辑</w:t>
      </w:r>
      <w:r>
        <w:rPr>
          <w:rFonts w:eastAsia="等线" w:ascii="Arial" w:cs="Arial" w:hAnsi="Arial"/>
          <w:sz w:val="22"/>
        </w:rPr>
        <w:t>：</w:t>
      </w:r>
    </w:p>
    <w:p>
      <w:pPr>
        <w:numPr>
          <w:numId w:val="8"/>
        </w:numPr>
        <w:spacing w:before="120" w:after="120" w:line="288" w:lineRule="auto"/>
        <w:ind w:left="453"/>
        <w:jc w:val="left"/>
      </w:pPr>
      <w:r>
        <w:rPr>
          <w:rFonts w:eastAsia="等线" w:ascii="Arial" w:cs="Arial" w:hAnsi="Arial"/>
          <w:b w:val="true"/>
          <w:sz w:val="22"/>
        </w:rPr>
        <w:t>选择“是”</w:t>
      </w:r>
      <w:r>
        <w:rPr>
          <w:rFonts w:eastAsia="等线" w:ascii="Arial" w:cs="Arial" w:hAnsi="Arial"/>
          <w:sz w:val="22"/>
        </w:rPr>
        <w:t>：系统</w:t>
      </w:r>
      <w:r>
        <w:rPr>
          <w:rFonts w:eastAsia="等线" w:ascii="Arial" w:cs="Arial" w:hAnsi="Arial"/>
          <w:b w:val="true"/>
          <w:sz w:val="22"/>
        </w:rPr>
        <w:t>立即终止主流程</w:t>
      </w:r>
      <w:r>
        <w:rPr>
          <w:rFonts w:eastAsia="等线" w:ascii="Arial" w:cs="Arial" w:hAnsi="Arial"/>
          <w:sz w:val="22"/>
        </w:rPr>
        <w:t>，跳转至最终结论输出（必须申报安全评估）。</w:t>
      </w:r>
    </w:p>
    <w:p>
      <w:pPr>
        <w:numPr>
          <w:numId w:val="9"/>
        </w:numPr>
        <w:spacing w:before="120" w:after="120" w:line="288" w:lineRule="auto"/>
        <w:ind w:left="453"/>
        <w:jc w:val="left"/>
      </w:pPr>
      <w:r>
        <w:rPr>
          <w:rFonts w:eastAsia="等线" w:ascii="Arial" w:cs="Arial" w:hAnsi="Arial"/>
          <w:b w:val="true"/>
          <w:sz w:val="22"/>
        </w:rPr>
        <w:t>选择“否”</w:t>
      </w:r>
      <w:r>
        <w:rPr>
          <w:rFonts w:eastAsia="等线" w:ascii="Arial" w:cs="Arial" w:hAnsi="Arial"/>
          <w:sz w:val="22"/>
        </w:rPr>
        <w:t>：系统进入步骤二。</w:t>
      </w:r>
    </w:p>
    <w:p>
      <w:pPr>
        <w:numPr>
          <w:numId w:val="10"/>
        </w:numPr>
        <w:spacing w:before="120" w:after="120" w:line="288" w:lineRule="auto"/>
        <w:ind w:left="453"/>
        <w:jc w:val="left"/>
      </w:pPr>
      <w:r>
        <w:rPr>
          <w:rFonts w:eastAsia="等线" w:ascii="Arial" w:cs="Arial" w:hAnsi="Arial"/>
          <w:b w:val="true"/>
          <w:sz w:val="22"/>
        </w:rPr>
        <w:t>选择“不知道”</w:t>
      </w:r>
      <w:r>
        <w:rPr>
          <w:rFonts w:eastAsia="等线" w:ascii="Arial" w:cs="Arial" w:hAnsi="Arial"/>
          <w:sz w:val="22"/>
        </w:rPr>
        <w:t>：系统启动</w:t>
      </w:r>
      <w:r>
        <w:rPr>
          <w:rFonts w:eastAsia="等线" w:ascii="Arial" w:cs="Arial" w:hAnsi="Arial"/>
          <w:b w:val="true"/>
          <w:sz w:val="22"/>
        </w:rPr>
        <w:t>重要数据辅助判断子流程</w:t>
      </w:r>
      <w:r>
        <w:rPr>
          <w:rFonts w:eastAsia="等线" w:ascii="Arial" w:cs="Arial" w:hAnsi="Arial"/>
          <w:sz w:val="22"/>
        </w:rPr>
        <w:t>：</w:t>
      </w:r>
    </w:p>
    <w:p>
      <w:pPr>
        <w:numPr>
          <w:numId w:val="11"/>
        </w:numPr>
        <w:spacing w:before="120" w:after="120" w:line="288" w:lineRule="auto"/>
        <w:ind w:left="907"/>
        <w:jc w:val="left"/>
      </w:pPr>
      <w:r>
        <w:rPr>
          <w:rFonts w:eastAsia="等线" w:ascii="Arial" w:cs="Arial" w:hAnsi="Arial"/>
          <w:b w:val="true"/>
          <w:sz w:val="22"/>
        </w:rPr>
        <w:t>询问行业领域</w:t>
      </w:r>
      <w:r>
        <w:rPr>
          <w:rFonts w:eastAsia="等线" w:ascii="Arial" w:cs="Arial" w:hAnsi="Arial"/>
          <w:sz w:val="22"/>
        </w:rPr>
        <w:t>：“请选择您企业所属的主要行业或领域（例如：工业、电信、交通、金融、自然资源、卫生健康、教育、科技、能源、国防科工、文旅、跨境电商、零售、互联网等）。”</w:t>
      </w:r>
      <w:r>
        <w:rPr>
          <w:rFonts w:eastAsia="等线" w:ascii="Arial" w:cs="Arial" w:hAnsi="Arial"/>
          <w:sz w:val="22"/>
          <w:shd w:fill="fed4a4"/>
        </w:rPr>
        <w:t xml:space="preserve">【 </w:t>
      </w:r>
      <w:r>
        <w:rPr>
          <w:rFonts w:eastAsia="等线" w:ascii="Arial" w:cs="Arial" w:hAnsi="Arial"/>
          <w:b w:val="true"/>
          <w:sz w:val="22"/>
          <w:shd w:fill="fed4a4"/>
        </w:rPr>
        <w:t>依据</w:t>
      </w:r>
      <w:r>
        <w:rPr>
          <w:rFonts w:eastAsia="等线" w:ascii="Arial" w:cs="Arial" w:hAnsi="Arial"/>
          <w:sz w:val="22"/>
          <w:shd w:fill="fed4a4"/>
        </w:rPr>
        <w:t>：《数据安全法》第二十一条要求各地区、各部门确定本行业、本领域的重要数据具体目录。】</w:t>
      </w:r>
    </w:p>
    <w:p>
      <w:pPr>
        <w:numPr>
          <w:numId w:val="12"/>
        </w:numPr>
        <w:spacing w:before="120" w:after="120" w:line="288" w:lineRule="auto"/>
        <w:ind w:left="907"/>
        <w:jc w:val="left"/>
      </w:pPr>
      <w:r>
        <w:rPr>
          <w:rFonts w:eastAsia="等线" w:ascii="Arial" w:cs="Arial" w:hAnsi="Arial"/>
          <w:b w:val="true"/>
          <w:sz w:val="22"/>
        </w:rPr>
        <w:t>询问数据性质</w:t>
      </w:r>
      <w:r>
        <w:rPr>
          <w:rFonts w:eastAsia="等线" w:ascii="Arial" w:cs="Arial" w:hAnsi="Arial"/>
          <w:sz w:val="22"/>
        </w:rPr>
        <w:t xml:space="preserve">：“请描述拟出境数据的具体内容与用途。例如：是否涉及国家经济运行、社会稳定、公共安全、生态环境、科技安全等宏观层面的数据？是否包含未公开的政务数据、工作秘密？是否包含达到一定精度和规模的群体性、区域性、系统性基础数据（如地图、自然资源、基因等）？” </w:t>
      </w:r>
      <w:r>
        <w:rPr>
          <w:rFonts w:eastAsia="等线" w:ascii="Arial" w:cs="Arial" w:hAnsi="Arial"/>
          <w:sz w:val="22"/>
          <w:shd w:fill="fed4a4"/>
        </w:rPr>
        <w:t>【</w:t>
      </w:r>
      <w:r>
        <w:rPr>
          <w:rFonts w:eastAsia="等线" w:ascii="Arial" w:cs="Arial" w:hAnsi="Arial"/>
          <w:b w:val="true"/>
          <w:sz w:val="22"/>
          <w:shd w:fill="fed4a4"/>
        </w:rPr>
        <w:t>依据</w:t>
      </w:r>
      <w:r>
        <w:rPr>
          <w:rFonts w:eastAsia="等线" w:ascii="Arial" w:cs="Arial" w:hAnsi="Arial"/>
          <w:sz w:val="22"/>
          <w:shd w:fill="fed4a4"/>
        </w:rPr>
        <w:t>：参考国家网信办及各行业主管部门（如工信、金融、卫健、交通等）发布的重要数据识别指南或相关标准（如《信息安全技术 重要数据识别指南》（征求意见稿）、《金融数据安全 数据安全分级指南》（JR/T 0197-2020）等）中关于重要数据特征的描述。】</w:t>
      </w:r>
    </w:p>
    <w:p>
      <w:pPr>
        <w:numPr>
          <w:numId w:val="13"/>
        </w:numPr>
        <w:spacing w:before="120" w:after="120" w:line="288" w:lineRule="auto"/>
        <w:ind w:left="907"/>
        <w:jc w:val="left"/>
      </w:pPr>
      <w:r>
        <w:rPr>
          <w:rFonts w:eastAsia="等线" w:ascii="Arial" w:cs="Arial" w:hAnsi="Arial"/>
          <w:b w:val="true"/>
          <w:sz w:val="22"/>
        </w:rPr>
        <w:t>判断与反馈</w:t>
      </w:r>
      <w:r>
        <w:rPr>
          <w:rFonts w:eastAsia="等线" w:ascii="Arial" w:cs="Arial" w:hAnsi="Arial"/>
          <w:sz w:val="22"/>
        </w:rPr>
        <w:t>：系统根据用户输入的行业和数据性质描述，结合内置的行业重要数据特征库进行匹配分析。若匹配到高风险特征，则提示“根据您提供的信息，该数据可能涉及重要数据，建议您咨询行业主管部门或专业机构进行最终确认。基于审慎原则，系统建议按涉及重要数据处理。”并引导用户回到主问题重新选择“是”。若未匹配到明显特征，则提示“根据现有信息，初步判断不涉及典型的重要数据。但最终认定需以主管部门目录为准。”并引导用户选择“否”进入下一步。</w:t>
      </w:r>
    </w:p>
    <w:p>
      <w:pPr>
        <w:numPr>
          <w:numId w:val="14"/>
        </w:numPr>
        <w:spacing w:before="120" w:after="120" w:line="288" w:lineRule="auto"/>
        <w:ind w:left="0"/>
        <w:jc w:val="left"/>
      </w:pPr>
      <w:r>
        <w:rPr>
          <w:rFonts w:eastAsia="等线" w:ascii="Arial" w:cs="Arial" w:hAnsi="Arial"/>
          <w:b w:val="true"/>
          <w:sz w:val="22"/>
          <w:shd w:fill="fed4a4"/>
        </w:rPr>
        <w:t>该步骤整体的依据</w:t>
      </w:r>
      <w:r>
        <w:rPr>
          <w:rFonts w:eastAsia="等线" w:ascii="Arial" w:cs="Arial" w:hAnsi="Arial"/>
          <w:sz w:val="22"/>
          <w:shd w:fill="fed4a4"/>
        </w:rPr>
        <w:t>：</w:t>
      </w:r>
    </w:p>
    <w:p>
      <w:pPr>
        <w:numPr>
          <w:numId w:val="15"/>
        </w:numPr>
        <w:spacing w:before="120" w:after="120" w:line="288" w:lineRule="auto"/>
        <w:ind w:left="453"/>
        <w:jc w:val="left"/>
      </w:pPr>
      <w:r>
        <w:rPr>
          <w:rFonts w:eastAsia="等线" w:ascii="Arial" w:cs="Arial" w:hAnsi="Arial"/>
          <w:sz w:val="22"/>
          <w:shd w:fill="fed4a4"/>
        </w:rPr>
        <w:t>《促进和规范数据跨境流动规定》第七条：“数据处理者向境外提供重要数据，应当申报数据出境安全评估。”</w:t>
      </w:r>
    </w:p>
    <w:p>
      <w:pPr>
        <w:numPr>
          <w:numId w:val="16"/>
        </w:numPr>
        <w:spacing w:before="120" w:after="120" w:line="288" w:lineRule="auto"/>
        <w:ind w:left="453"/>
        <w:jc w:val="left"/>
      </w:pPr>
      <w:r>
        <w:rPr>
          <w:rFonts w:eastAsia="等线" w:ascii="Arial" w:cs="Arial" w:hAnsi="Arial"/>
          <w:sz w:val="22"/>
          <w:shd w:fill="fed4a4"/>
        </w:rPr>
        <w:t>《中华人民共和国数据安全法》第二十一条：“国家建立数据分类分级保护制度…各地区、各部门应当按照数据分类分级要求，确定本地区、本部门以及相关行业、领域的重要数据具体目录，对列入目录的数据进行重点保护。” 以及各行业主管部门发布的相关重要数据识别指南或标准。</w:t>
      </w:r>
    </w:p>
    <w:p>
      <w:pPr>
        <w:spacing w:before="120" w:after="120" w:line="288" w:lineRule="auto"/>
        <w:ind w:left="0"/>
        <w:jc w:val="left"/>
      </w:pPr>
      <w:r>
        <w:rPr>
          <w:rFonts w:eastAsia="等线" w:ascii="Arial" w:cs="Arial" w:hAnsi="Arial"/>
          <w:b w:val="true"/>
          <w:sz w:val="22"/>
        </w:rPr>
        <w:t>步骤二：识别“个人信息”与基础豁免</w:t>
      </w:r>
    </w:p>
    <w:p>
      <w:pPr>
        <w:numPr>
          <w:numId w:val="17"/>
        </w:numPr>
        <w:spacing w:before="120" w:after="120" w:line="288" w:lineRule="auto"/>
        <w:ind w:left="0"/>
        <w:jc w:val="left"/>
      </w:pPr>
      <w:r>
        <w:rPr>
          <w:rFonts w:eastAsia="等线" w:ascii="Arial" w:cs="Arial" w:hAnsi="Arial"/>
          <w:b w:val="true"/>
          <w:sz w:val="22"/>
        </w:rPr>
        <w:t>用户输入</w:t>
      </w:r>
      <w:r>
        <w:rPr>
          <w:rFonts w:eastAsia="等线" w:ascii="Arial" w:cs="Arial" w:hAnsi="Arial"/>
          <w:sz w:val="22"/>
        </w:rPr>
        <w:t>：回答“本次向境外提供的数据中，是否包含‘个人信息’？” 选项为：是、否、不知道。</w:t>
      </w:r>
    </w:p>
    <w:p>
      <w:pPr>
        <w:numPr>
          <w:numId w:val="18"/>
        </w:numPr>
        <w:spacing w:before="120" w:after="120" w:line="288" w:lineRule="auto"/>
        <w:ind w:left="0"/>
        <w:jc w:val="left"/>
      </w:pPr>
      <w:r>
        <w:rPr>
          <w:rFonts w:eastAsia="等线" w:ascii="Arial" w:cs="Arial" w:hAnsi="Arial"/>
          <w:b w:val="true"/>
          <w:sz w:val="22"/>
        </w:rPr>
        <w:t>系统诊断逻辑</w:t>
      </w:r>
      <w:r>
        <w:rPr>
          <w:rFonts w:eastAsia="等线" w:ascii="Arial" w:cs="Arial" w:hAnsi="Arial"/>
          <w:sz w:val="22"/>
        </w:rPr>
        <w:t>：</w:t>
      </w:r>
    </w:p>
    <w:p>
      <w:pPr>
        <w:numPr>
          <w:numId w:val="19"/>
        </w:numPr>
        <w:spacing w:before="120" w:after="120" w:line="288" w:lineRule="auto"/>
        <w:ind w:left="453"/>
        <w:jc w:val="left"/>
      </w:pPr>
      <w:r>
        <w:rPr>
          <w:rFonts w:eastAsia="等线" w:ascii="Arial" w:cs="Arial" w:hAnsi="Arial"/>
          <w:b w:val="true"/>
          <w:sz w:val="22"/>
        </w:rPr>
        <w:t>选择“否”</w:t>
      </w:r>
      <w:r>
        <w:rPr>
          <w:rFonts w:eastAsia="等线" w:ascii="Arial" w:cs="Arial" w:hAnsi="Arial"/>
          <w:sz w:val="22"/>
        </w:rPr>
        <w:t>：系统</w:t>
      </w:r>
      <w:r>
        <w:rPr>
          <w:rFonts w:eastAsia="等线" w:ascii="Arial" w:cs="Arial" w:hAnsi="Arial"/>
          <w:b w:val="true"/>
          <w:sz w:val="22"/>
        </w:rPr>
        <w:t>立即终止主流程</w:t>
      </w:r>
      <w:r>
        <w:rPr>
          <w:rFonts w:eastAsia="等线" w:ascii="Arial" w:cs="Arial" w:hAnsi="Arial"/>
          <w:sz w:val="22"/>
        </w:rPr>
        <w:t>，跳转至最终结论输出（适用《规定》第三条豁免）。</w:t>
      </w:r>
    </w:p>
    <w:p>
      <w:pPr>
        <w:numPr>
          <w:numId w:val="20"/>
        </w:numPr>
        <w:spacing w:before="120" w:after="120" w:line="288" w:lineRule="auto"/>
        <w:ind w:left="453"/>
        <w:jc w:val="left"/>
      </w:pPr>
      <w:r>
        <w:rPr>
          <w:rFonts w:eastAsia="等线" w:ascii="Arial" w:cs="Arial" w:hAnsi="Arial"/>
          <w:b w:val="true"/>
          <w:sz w:val="22"/>
        </w:rPr>
        <w:t>选择“是”</w:t>
      </w:r>
      <w:r>
        <w:rPr>
          <w:rFonts w:eastAsia="等线" w:ascii="Arial" w:cs="Arial" w:hAnsi="Arial"/>
          <w:sz w:val="22"/>
        </w:rPr>
        <w:t>：系统进入步骤三。</w:t>
      </w:r>
    </w:p>
    <w:p>
      <w:pPr>
        <w:numPr>
          <w:numId w:val="21"/>
        </w:numPr>
        <w:spacing w:before="120" w:after="120" w:line="288" w:lineRule="auto"/>
        <w:ind w:left="453"/>
        <w:jc w:val="left"/>
      </w:pPr>
      <w:r>
        <w:rPr>
          <w:rFonts w:eastAsia="等线" w:ascii="Arial" w:cs="Arial" w:hAnsi="Arial"/>
          <w:b w:val="true"/>
          <w:sz w:val="22"/>
        </w:rPr>
        <w:t>选择“不知道”</w:t>
      </w:r>
      <w:r>
        <w:rPr>
          <w:rFonts w:eastAsia="等线" w:ascii="Arial" w:cs="Arial" w:hAnsi="Arial"/>
          <w:sz w:val="22"/>
        </w:rPr>
        <w:t>：系统启动</w:t>
      </w:r>
      <w:r>
        <w:rPr>
          <w:rFonts w:eastAsia="等线" w:ascii="Arial" w:cs="Arial" w:hAnsi="Arial"/>
          <w:b w:val="true"/>
          <w:sz w:val="22"/>
        </w:rPr>
        <w:t>个人信息辅助判断子流程</w:t>
      </w:r>
      <w:r>
        <w:rPr>
          <w:rFonts w:eastAsia="等线" w:ascii="Arial" w:cs="Arial" w:hAnsi="Arial"/>
          <w:sz w:val="22"/>
        </w:rPr>
        <w:t>：</w:t>
      </w:r>
    </w:p>
    <w:p>
      <w:pPr>
        <w:numPr>
          <w:numId w:val="22"/>
        </w:numPr>
        <w:spacing w:before="120" w:after="120" w:line="288" w:lineRule="auto"/>
        <w:ind w:left="907"/>
        <w:jc w:val="left"/>
      </w:pPr>
      <w:r>
        <w:rPr>
          <w:rFonts w:eastAsia="等线" w:ascii="Arial" w:cs="Arial" w:hAnsi="Arial"/>
          <w:b w:val="true"/>
          <w:sz w:val="22"/>
        </w:rPr>
        <w:t>提供示例清单</w:t>
      </w:r>
      <w:r>
        <w:rPr>
          <w:rFonts w:eastAsia="等线" w:ascii="Arial" w:cs="Arial" w:hAnsi="Arial"/>
          <w:sz w:val="22"/>
        </w:rPr>
        <w:t xml:space="preserve">：“请核对，拟出境数据中是否包含以下任何一类信息：自然人的姓名、出生日期、身份证件号码、生物识别信息、住址、电话号码、电子邮箱、账号密码、财产信息、行踪轨迹、健康生理信息、交易信息等？” </w:t>
      </w:r>
      <w:r>
        <w:rPr>
          <w:rFonts w:eastAsia="等线" w:ascii="Arial" w:cs="Arial" w:hAnsi="Arial"/>
          <w:sz w:val="22"/>
          <w:shd w:fill="fed4a4"/>
        </w:rPr>
        <w:t>【</w:t>
      </w:r>
      <w:r>
        <w:rPr>
          <w:rFonts w:eastAsia="等线" w:ascii="Arial" w:cs="Arial" w:hAnsi="Arial"/>
          <w:b w:val="true"/>
          <w:sz w:val="22"/>
          <w:shd w:fill="fed4a4"/>
        </w:rPr>
        <w:t>依据</w:t>
      </w:r>
      <w:r>
        <w:rPr>
          <w:rFonts w:eastAsia="等线" w:ascii="Arial" w:cs="Arial" w:hAnsi="Arial"/>
          <w:sz w:val="22"/>
          <w:shd w:fill="fed4a4"/>
        </w:rPr>
        <w:t>：《中华人民共和国个人信息保护法》第四条对个人信息的定义，以及第二十八条对敏感个人信息的列举。】</w:t>
      </w:r>
    </w:p>
    <w:p>
      <w:pPr>
        <w:numPr>
          <w:numId w:val="23"/>
        </w:numPr>
        <w:spacing w:before="120" w:after="120" w:line="288" w:lineRule="auto"/>
        <w:ind w:left="907"/>
        <w:jc w:val="left"/>
      </w:pPr>
      <w:r>
        <w:rPr>
          <w:rFonts w:eastAsia="等线" w:ascii="Arial" w:cs="Arial" w:hAnsi="Arial"/>
          <w:b w:val="true"/>
          <w:sz w:val="22"/>
        </w:rPr>
        <w:t>判断与反馈</w:t>
      </w:r>
      <w:r>
        <w:rPr>
          <w:rFonts w:eastAsia="等线" w:ascii="Arial" w:cs="Arial" w:hAnsi="Arial"/>
          <w:sz w:val="22"/>
        </w:rPr>
        <w:t>：若用户确认包含清单中任何信息，则提示“根据您的描述，该数据包含个人信息。”并引导用户回到主问题选择“是”。若用户确认不包含任何清单信息，则提示“根据您的描述，该数据不包含个人信息。”并引导用户选择“否”。</w:t>
      </w:r>
    </w:p>
    <w:p>
      <w:pPr>
        <w:numPr>
          <w:numId w:val="24"/>
        </w:numPr>
        <w:spacing w:before="120" w:after="120" w:line="288" w:lineRule="auto"/>
        <w:ind w:left="0"/>
        <w:jc w:val="left"/>
      </w:pPr>
      <w:r>
        <w:rPr>
          <w:rFonts w:eastAsia="等线" w:ascii="Arial" w:cs="Arial" w:hAnsi="Arial"/>
          <w:b w:val="true"/>
          <w:sz w:val="22"/>
          <w:shd w:fill="fed4a4"/>
        </w:rPr>
        <w:t>该步骤整体依据</w:t>
      </w:r>
      <w:r>
        <w:rPr>
          <w:rFonts w:eastAsia="等线" w:ascii="Arial" w:cs="Arial" w:hAnsi="Arial"/>
          <w:sz w:val="22"/>
          <w:shd w:fill="fed4a4"/>
        </w:rPr>
        <w:t>：</w:t>
      </w:r>
    </w:p>
    <w:p>
      <w:pPr>
        <w:numPr>
          <w:numId w:val="25"/>
        </w:numPr>
        <w:spacing w:before="120" w:after="120" w:line="288" w:lineRule="auto"/>
        <w:ind w:left="453"/>
        <w:jc w:val="left"/>
      </w:pPr>
      <w:r>
        <w:rPr>
          <w:rFonts w:eastAsia="等线" w:ascii="Arial" w:cs="Arial" w:hAnsi="Arial"/>
          <w:b w:val="true"/>
          <w:sz w:val="22"/>
          <w:shd w:fill="fed4a4"/>
        </w:rPr>
        <w:t>核心判断依据</w:t>
      </w:r>
      <w:r>
        <w:rPr>
          <w:rFonts w:eastAsia="等线" w:ascii="Arial" w:cs="Arial" w:hAnsi="Arial"/>
          <w:sz w:val="22"/>
          <w:shd w:fill="fed4a4"/>
        </w:rPr>
        <w:t>：《促进和规范数据跨境流动规定》第三条：“…不包含个人信息或者重要数据的，不需要申报数据出境安全评估、订立个人信息出境标准合同、通过个人信息保护认证。”</w:t>
      </w:r>
    </w:p>
    <w:p>
      <w:pPr>
        <w:numPr>
          <w:numId w:val="26"/>
        </w:numPr>
        <w:spacing w:before="120" w:after="120" w:line="288" w:lineRule="auto"/>
        <w:ind w:left="453"/>
        <w:jc w:val="left"/>
      </w:pPr>
      <w:r>
        <w:rPr>
          <w:rFonts w:eastAsia="等线" w:ascii="Arial" w:cs="Arial" w:hAnsi="Arial"/>
          <w:b w:val="true"/>
          <w:sz w:val="22"/>
          <w:shd w:fill="fed4a4"/>
        </w:rPr>
        <w:t>概念依据</w:t>
      </w:r>
      <w:r>
        <w:rPr>
          <w:rFonts w:eastAsia="等线" w:ascii="Arial" w:cs="Arial" w:hAnsi="Arial"/>
          <w:sz w:val="22"/>
          <w:shd w:fill="fed4a4"/>
        </w:rPr>
        <w:t>：《中华人民共和国个人信息保护法》第四条：“个人信息是以电子或者其他方式记录的与已识别或者可识别的自然人有关的各种信息，不包括匿名化处理后的信息。”</w:t>
      </w:r>
    </w:p>
    <w:p>
      <w:pPr>
        <w:spacing w:before="120" w:after="120" w:line="288" w:lineRule="auto"/>
        <w:ind w:left="0"/>
        <w:jc w:val="left"/>
      </w:pPr>
      <w:r>
        <w:rPr>
          <w:rFonts w:eastAsia="等线" w:ascii="Arial" w:cs="Arial" w:hAnsi="Arial"/>
          <w:b w:val="true"/>
          <w:sz w:val="22"/>
        </w:rPr>
        <w:t>步骤三：核查法定豁免情形</w:t>
      </w:r>
    </w:p>
    <w:p>
      <w:pPr>
        <w:numPr>
          <w:numId w:val="27"/>
        </w:numPr>
        <w:spacing w:before="120" w:after="120" w:line="288" w:lineRule="auto"/>
        <w:ind w:left="0"/>
        <w:jc w:val="left"/>
      </w:pPr>
      <w:r>
        <w:rPr>
          <w:rFonts w:eastAsia="等线" w:ascii="Arial" w:cs="Arial" w:hAnsi="Arial"/>
          <w:b w:val="true"/>
          <w:sz w:val="22"/>
        </w:rPr>
        <w:t>用户输入</w:t>
      </w:r>
      <w:r>
        <w:rPr>
          <w:rFonts w:eastAsia="等线" w:ascii="Arial" w:cs="Arial" w:hAnsi="Arial"/>
          <w:sz w:val="22"/>
        </w:rPr>
        <w:t>：回答“请判断本次个人信息出境是否属于以下任一法定豁免情形？”（可多选，选项对应《规定》具体条款）。同时提供“不清楚/不确定”选项。</w:t>
      </w:r>
    </w:p>
    <w:p>
      <w:pPr>
        <w:numPr>
          <w:numId w:val="28"/>
        </w:numPr>
        <w:spacing w:before="120" w:after="120" w:line="288" w:lineRule="auto"/>
        <w:ind w:left="0"/>
        <w:jc w:val="left"/>
      </w:pPr>
      <w:r>
        <w:rPr>
          <w:rFonts w:eastAsia="等线" w:ascii="Arial" w:cs="Arial" w:hAnsi="Arial"/>
          <w:b w:val="true"/>
          <w:sz w:val="22"/>
        </w:rPr>
        <w:t>系统诊断逻辑</w:t>
      </w:r>
      <w:r>
        <w:rPr>
          <w:rFonts w:eastAsia="等线" w:ascii="Arial" w:cs="Arial" w:hAnsi="Arial"/>
          <w:sz w:val="22"/>
        </w:rPr>
        <w:t>：</w:t>
      </w:r>
    </w:p>
    <w:p>
      <w:pPr>
        <w:numPr>
          <w:numId w:val="29"/>
        </w:numPr>
        <w:spacing w:before="120" w:after="120" w:line="288" w:lineRule="auto"/>
        <w:ind w:left="453"/>
        <w:jc w:val="left"/>
      </w:pPr>
      <w:r>
        <w:rPr>
          <w:rFonts w:eastAsia="等线" w:ascii="Arial" w:cs="Arial" w:hAnsi="Arial"/>
          <w:b w:val="true"/>
          <w:sz w:val="22"/>
        </w:rPr>
        <w:t>用户选择任一具体豁免情形</w:t>
      </w:r>
      <w:r>
        <w:rPr>
          <w:rFonts w:eastAsia="等线" w:ascii="Arial" w:cs="Arial" w:hAnsi="Arial"/>
          <w:sz w:val="22"/>
        </w:rPr>
        <w:t>：系统</w:t>
      </w:r>
      <w:r>
        <w:rPr>
          <w:rFonts w:eastAsia="等线" w:ascii="Arial" w:cs="Arial" w:hAnsi="Arial"/>
          <w:b w:val="true"/>
          <w:sz w:val="22"/>
        </w:rPr>
        <w:t>立即终止主流程</w:t>
      </w:r>
      <w:r>
        <w:rPr>
          <w:rFonts w:eastAsia="等线" w:ascii="Arial" w:cs="Arial" w:hAnsi="Arial"/>
          <w:sz w:val="22"/>
        </w:rPr>
        <w:t>，跳转至最终结论输出（适用对应豁免）。</w:t>
      </w:r>
    </w:p>
    <w:p>
      <w:pPr>
        <w:numPr>
          <w:numId w:val="30"/>
        </w:numPr>
        <w:spacing w:before="120" w:after="120" w:line="288" w:lineRule="auto"/>
        <w:ind w:left="453"/>
        <w:jc w:val="left"/>
      </w:pPr>
      <w:r>
        <w:rPr>
          <w:rFonts w:eastAsia="等线" w:ascii="Arial" w:cs="Arial" w:hAnsi="Arial"/>
          <w:b w:val="true"/>
          <w:sz w:val="22"/>
        </w:rPr>
        <w:t>用户选择“均不属于”</w:t>
      </w:r>
      <w:r>
        <w:rPr>
          <w:rFonts w:eastAsia="等线" w:ascii="Arial" w:cs="Arial" w:hAnsi="Arial"/>
          <w:sz w:val="22"/>
        </w:rPr>
        <w:t>：系统进入步骤四。</w:t>
      </w:r>
    </w:p>
    <w:p>
      <w:pPr>
        <w:numPr>
          <w:numId w:val="31"/>
        </w:numPr>
        <w:spacing w:before="120" w:after="120" w:line="288" w:lineRule="auto"/>
        <w:ind w:left="453"/>
        <w:jc w:val="left"/>
      </w:pPr>
      <w:r>
        <w:rPr>
          <w:rFonts w:eastAsia="等线" w:ascii="Arial" w:cs="Arial" w:hAnsi="Arial"/>
          <w:b w:val="true"/>
          <w:sz w:val="22"/>
        </w:rPr>
        <w:t>用户选择“不清楚/不确定”</w:t>
      </w:r>
      <w:r>
        <w:rPr>
          <w:rFonts w:eastAsia="等线" w:ascii="Arial" w:cs="Arial" w:hAnsi="Arial"/>
          <w:sz w:val="22"/>
        </w:rPr>
        <w:t>：系统启动</w:t>
      </w:r>
      <w:r>
        <w:rPr>
          <w:rFonts w:eastAsia="等线" w:ascii="Arial" w:cs="Arial" w:hAnsi="Arial"/>
          <w:b w:val="true"/>
          <w:sz w:val="22"/>
        </w:rPr>
        <w:t>豁免情形辅助判断子流程</w:t>
      </w:r>
      <w:r>
        <w:rPr>
          <w:rFonts w:eastAsia="等线" w:ascii="Arial" w:cs="Arial" w:hAnsi="Arial"/>
          <w:sz w:val="22"/>
        </w:rPr>
        <w:t>，针对《规定》第五条、第六条列举的每一项豁免情形进行细化询问：</w:t>
      </w:r>
    </w:p>
    <w:p>
      <w:pPr>
        <w:numPr>
          <w:numId w:val="32"/>
        </w:numPr>
        <w:spacing w:before="120" w:after="120" w:line="288" w:lineRule="auto"/>
        <w:ind w:left="907"/>
        <w:jc w:val="left"/>
      </w:pPr>
      <w:r>
        <w:rPr>
          <w:rFonts w:eastAsia="等线" w:ascii="Arial" w:cs="Arial" w:hAnsi="Arial"/>
          <w:b w:val="true"/>
          <w:sz w:val="22"/>
        </w:rPr>
        <w:t>针对《规定》第五条第一项（履行合同必需）</w:t>
      </w:r>
      <w:r>
        <w:rPr>
          <w:rFonts w:eastAsia="等线" w:ascii="Arial" w:cs="Arial" w:hAnsi="Arial"/>
          <w:sz w:val="22"/>
        </w:rPr>
        <w:t xml:space="preserve">：“本次数据出境是否是为了履行您与个人用户之间已签订的合同（例如：为完成其发起的跨境购物、支付、寄递、开户、预订、签证、考试等服务）？且该数据出境是否为履行该合同所‘必需’（即不出境则合同无法履行）？” </w:t>
      </w:r>
      <w:r>
        <w:rPr>
          <w:rFonts w:eastAsia="等线" w:ascii="Arial" w:cs="Arial" w:hAnsi="Arial"/>
          <w:sz w:val="22"/>
          <w:shd w:fill="fed4a4"/>
        </w:rPr>
        <w:t>【</w:t>
      </w:r>
      <w:r>
        <w:rPr>
          <w:rFonts w:eastAsia="等线" w:ascii="Arial" w:cs="Arial" w:hAnsi="Arial"/>
          <w:b w:val="true"/>
          <w:sz w:val="22"/>
          <w:shd w:fill="fed4a4"/>
        </w:rPr>
        <w:t>依据</w:t>
      </w:r>
      <w:r>
        <w:rPr>
          <w:rFonts w:eastAsia="等线" w:ascii="Arial" w:cs="Arial" w:hAnsi="Arial"/>
          <w:sz w:val="22"/>
          <w:shd w:fill="fed4a4"/>
        </w:rPr>
        <w:t>：《促进和规范数据跨境流动规定》第五条。】</w:t>
      </w:r>
    </w:p>
    <w:p>
      <w:pPr>
        <w:numPr>
          <w:numId w:val="33"/>
        </w:numPr>
        <w:spacing w:before="120" w:after="120" w:line="288" w:lineRule="auto"/>
        <w:ind w:left="907"/>
        <w:jc w:val="left"/>
      </w:pPr>
      <w:r>
        <w:rPr>
          <w:rFonts w:eastAsia="等线" w:ascii="Arial" w:cs="Arial" w:hAnsi="Arial"/>
          <w:b w:val="true"/>
          <w:sz w:val="22"/>
        </w:rPr>
        <w:t>针对《规定》第五条第二项（紧急情况）</w:t>
      </w:r>
      <w:r>
        <w:rPr>
          <w:rFonts w:eastAsia="等线" w:ascii="Arial" w:cs="Arial" w:hAnsi="Arial"/>
          <w:sz w:val="22"/>
        </w:rPr>
        <w:t xml:space="preserve">：“本次数据出境是否是为了应对保护自然人生命健康和财产安全的紧急情况（例如：跨境医疗救助、灾害救援）？” </w:t>
      </w:r>
      <w:r>
        <w:rPr>
          <w:rFonts w:eastAsia="等线" w:ascii="Arial" w:cs="Arial" w:hAnsi="Arial"/>
          <w:sz w:val="22"/>
          <w:shd w:fill="fed4a4"/>
        </w:rPr>
        <w:t>【</w:t>
      </w:r>
      <w:r>
        <w:rPr>
          <w:rFonts w:eastAsia="等线" w:ascii="Arial" w:cs="Arial" w:hAnsi="Arial"/>
          <w:b w:val="true"/>
          <w:sz w:val="22"/>
          <w:shd w:fill="fed4a4"/>
        </w:rPr>
        <w:t>依据</w:t>
      </w:r>
      <w:r>
        <w:rPr>
          <w:rFonts w:eastAsia="等线" w:ascii="Arial" w:cs="Arial" w:hAnsi="Arial"/>
          <w:sz w:val="22"/>
          <w:shd w:fill="fed4a4"/>
        </w:rPr>
        <w:t>：《促进和规范数据跨境流动规定》第五条。】</w:t>
      </w:r>
    </w:p>
    <w:p>
      <w:pPr>
        <w:numPr>
          <w:numId w:val="34"/>
        </w:numPr>
        <w:spacing w:before="120" w:after="120" w:line="288" w:lineRule="auto"/>
        <w:ind w:left="907"/>
        <w:jc w:val="left"/>
      </w:pPr>
      <w:r>
        <w:rPr>
          <w:rFonts w:eastAsia="等线" w:ascii="Arial" w:cs="Arial" w:hAnsi="Arial"/>
          <w:b w:val="true"/>
          <w:sz w:val="22"/>
        </w:rPr>
        <w:t>针对《规定》第六条（跨境人力资源管理）</w:t>
      </w:r>
      <w:r>
        <w:rPr>
          <w:rFonts w:eastAsia="等线" w:ascii="Arial" w:cs="Arial" w:hAnsi="Arial"/>
          <w:sz w:val="22"/>
        </w:rPr>
        <w:t>：“本次数据出境是否仅涉及员工个人信息，且是基于依法制定的劳动规章制度或依法签订的集体合同，为实施跨境人力资源管理（如薪酬发放、福利管理、派遣安排）所必需？”</w:t>
      </w:r>
      <w:r>
        <w:rPr>
          <w:rFonts w:eastAsia="等线" w:ascii="Arial" w:cs="Arial" w:hAnsi="Arial"/>
          <w:sz w:val="22"/>
          <w:shd w:fill="fed4a4"/>
        </w:rPr>
        <w:t xml:space="preserve">【 </w:t>
      </w:r>
      <w:r>
        <w:rPr>
          <w:rFonts w:eastAsia="等线" w:ascii="Arial" w:cs="Arial" w:hAnsi="Arial"/>
          <w:b w:val="true"/>
          <w:sz w:val="22"/>
          <w:shd w:fill="fed4a4"/>
        </w:rPr>
        <w:t>依据</w:t>
      </w:r>
      <w:r>
        <w:rPr>
          <w:rFonts w:eastAsia="等线" w:ascii="Arial" w:cs="Arial" w:hAnsi="Arial"/>
          <w:sz w:val="22"/>
          <w:shd w:fill="fed4a4"/>
        </w:rPr>
        <w:t>：《促进和规范数据跨境流动规定》第六条。】</w:t>
      </w:r>
    </w:p>
    <w:p>
      <w:pPr>
        <w:numPr>
          <w:numId w:val="35"/>
        </w:numPr>
        <w:spacing w:before="120" w:after="120" w:line="288" w:lineRule="auto"/>
        <w:ind w:left="907"/>
        <w:jc w:val="left"/>
      </w:pPr>
      <w:r>
        <w:rPr>
          <w:rFonts w:eastAsia="等线" w:ascii="Arial" w:cs="Arial" w:hAnsi="Arial"/>
          <w:b w:val="true"/>
          <w:sz w:val="22"/>
        </w:rPr>
        <w:t>针对《规定》第五条第三项（少量个人信息）</w:t>
      </w:r>
      <w:r>
        <w:rPr>
          <w:rFonts w:eastAsia="等线" w:ascii="Arial" w:cs="Arial" w:hAnsi="Arial"/>
          <w:sz w:val="22"/>
        </w:rPr>
        <w:t>：此情形与后续数量判断合并，在本步骤不单独询问。</w:t>
      </w:r>
    </w:p>
    <w:p>
      <w:pPr>
        <w:numPr>
          <w:numId w:val="36"/>
        </w:numPr>
        <w:spacing w:before="120" w:after="120" w:line="288" w:lineRule="auto"/>
        <w:ind w:left="907"/>
        <w:jc w:val="left"/>
      </w:pPr>
      <w:r>
        <w:rPr>
          <w:rFonts w:eastAsia="等线" w:ascii="Arial" w:cs="Arial" w:hAnsi="Arial"/>
          <w:b w:val="true"/>
          <w:sz w:val="22"/>
        </w:rPr>
        <w:t>针对《规定》第六条（自贸区负面清单）</w:t>
      </w:r>
      <w:r>
        <w:rPr>
          <w:rFonts w:eastAsia="等线" w:ascii="Arial" w:cs="Arial" w:hAnsi="Arial"/>
          <w:sz w:val="22"/>
        </w:rPr>
        <w:t xml:space="preserve">：“本次数据出境活动是否发生在自由贸易试验区，且不属于该试验区负面清单禁止的范围？” </w:t>
      </w:r>
      <w:r>
        <w:rPr>
          <w:rFonts w:eastAsia="等线" w:ascii="Arial" w:cs="Arial" w:hAnsi="Arial"/>
          <w:sz w:val="22"/>
          <w:shd w:fill="fed4a4"/>
        </w:rPr>
        <w:t>【</w:t>
      </w:r>
      <w:r>
        <w:rPr>
          <w:rFonts w:eastAsia="等线" w:ascii="Arial" w:cs="Arial" w:hAnsi="Arial"/>
          <w:b w:val="true"/>
          <w:sz w:val="22"/>
          <w:shd w:fill="fed4a4"/>
        </w:rPr>
        <w:t>依据</w:t>
      </w:r>
      <w:r>
        <w:rPr>
          <w:rFonts w:eastAsia="等线" w:ascii="Arial" w:cs="Arial" w:hAnsi="Arial"/>
          <w:sz w:val="22"/>
          <w:shd w:fill="fed4a4"/>
        </w:rPr>
        <w:t>：《促进和规范数据跨境流动规定》第六条及各自贸试验区发布的负面清单。】</w:t>
      </w:r>
    </w:p>
    <w:p>
      <w:pPr>
        <w:numPr>
          <w:numId w:val="37"/>
        </w:numPr>
        <w:spacing w:before="120" w:after="120" w:line="288" w:lineRule="auto"/>
        <w:ind w:left="907"/>
        <w:jc w:val="left"/>
      </w:pPr>
      <w:r>
        <w:rPr>
          <w:rFonts w:eastAsia="等线" w:ascii="Arial" w:cs="Arial" w:hAnsi="Arial"/>
          <w:b w:val="true"/>
          <w:sz w:val="22"/>
        </w:rPr>
        <w:t>判断与反馈</w:t>
      </w:r>
      <w:r>
        <w:rPr>
          <w:rFonts w:eastAsia="等线" w:ascii="Arial" w:cs="Arial" w:hAnsi="Arial"/>
          <w:sz w:val="22"/>
        </w:rPr>
        <w:t>：根据用户对上述细化问题的回答，系统判断是否符合任一豁免情形。若符合，则引导用户回到主问题选择对应豁免项；若均不符合，则引导用户选择“均不属于”。</w:t>
      </w:r>
    </w:p>
    <w:p>
      <w:pPr>
        <w:numPr>
          <w:numId w:val="38"/>
        </w:numPr>
        <w:spacing w:before="120" w:after="120" w:line="288" w:lineRule="auto"/>
        <w:ind w:left="0"/>
        <w:jc w:val="left"/>
      </w:pPr>
      <w:r>
        <w:rPr>
          <w:rFonts w:eastAsia="等线" w:ascii="Arial" w:cs="Arial" w:hAnsi="Arial"/>
          <w:b w:val="true"/>
          <w:sz w:val="22"/>
        </w:rPr>
        <w:t>该步骤整体依据</w:t>
      </w:r>
      <w:r>
        <w:rPr>
          <w:rFonts w:eastAsia="等线" w:ascii="Arial" w:cs="Arial" w:hAnsi="Arial"/>
          <w:sz w:val="22"/>
        </w:rPr>
        <w:t>：</w:t>
      </w:r>
    </w:p>
    <w:p>
      <w:pPr>
        <w:numPr>
          <w:numId w:val="39"/>
        </w:numPr>
        <w:spacing w:before="120" w:after="120" w:line="288" w:lineRule="auto"/>
        <w:ind w:left="453"/>
        <w:jc w:val="left"/>
      </w:pPr>
      <w:r>
        <w:rPr>
          <w:rFonts w:eastAsia="等线" w:ascii="Arial" w:cs="Arial" w:hAnsi="Arial"/>
          <w:sz w:val="22"/>
        </w:rPr>
        <w:t>《促进和规范数据跨境流动规定》第三条、第五条、第六条。</w:t>
      </w:r>
    </w:p>
    <w:p>
      <w:pPr>
        <w:spacing w:before="120" w:after="120" w:line="288" w:lineRule="auto"/>
        <w:ind w:left="0"/>
        <w:jc w:val="left"/>
      </w:pPr>
      <w:r>
        <w:rPr>
          <w:rFonts w:eastAsia="等线" w:ascii="Arial" w:cs="Arial" w:hAnsi="Arial"/>
          <w:b w:val="true"/>
          <w:sz w:val="22"/>
        </w:rPr>
        <w:t>步骤四：确认数据处理者身份（是否CIIO）</w:t>
      </w:r>
    </w:p>
    <w:p>
      <w:pPr>
        <w:numPr>
          <w:numId w:val="40"/>
        </w:numPr>
        <w:spacing w:before="120" w:after="120" w:line="288" w:lineRule="auto"/>
        <w:ind w:left="0"/>
        <w:jc w:val="left"/>
      </w:pPr>
      <w:r>
        <w:rPr>
          <w:rFonts w:eastAsia="等线" w:ascii="Arial" w:cs="Arial" w:hAnsi="Arial"/>
          <w:b w:val="true"/>
          <w:sz w:val="22"/>
        </w:rPr>
        <w:t>用户输入</w:t>
      </w:r>
      <w:r>
        <w:rPr>
          <w:rFonts w:eastAsia="等线" w:ascii="Arial" w:cs="Arial" w:hAnsi="Arial"/>
          <w:sz w:val="22"/>
        </w:rPr>
        <w:t>：回答“您的企业是否属于‘关键信息基础设施运营者’？” 选项为：是、否、不确定。</w:t>
      </w:r>
    </w:p>
    <w:p>
      <w:pPr>
        <w:numPr>
          <w:numId w:val="41"/>
        </w:numPr>
        <w:spacing w:before="120" w:after="120" w:line="288" w:lineRule="auto"/>
        <w:ind w:left="0"/>
        <w:jc w:val="left"/>
      </w:pPr>
      <w:r>
        <w:rPr>
          <w:rFonts w:eastAsia="等线" w:ascii="Arial" w:cs="Arial" w:hAnsi="Arial"/>
          <w:b w:val="true"/>
          <w:sz w:val="22"/>
        </w:rPr>
        <w:t>系统诊断逻辑</w:t>
      </w:r>
      <w:r>
        <w:rPr>
          <w:rFonts w:eastAsia="等线" w:ascii="Arial" w:cs="Arial" w:hAnsi="Arial"/>
          <w:sz w:val="22"/>
        </w:rPr>
        <w:t>：</w:t>
      </w:r>
    </w:p>
    <w:p>
      <w:pPr>
        <w:numPr>
          <w:numId w:val="42"/>
        </w:numPr>
        <w:spacing w:before="120" w:after="120" w:line="288" w:lineRule="auto"/>
        <w:ind w:left="453"/>
        <w:jc w:val="left"/>
      </w:pPr>
      <w:r>
        <w:rPr>
          <w:rFonts w:eastAsia="等线" w:ascii="Arial" w:cs="Arial" w:hAnsi="Arial"/>
          <w:b w:val="true"/>
          <w:sz w:val="22"/>
        </w:rPr>
        <w:t>选择“是”</w:t>
      </w:r>
      <w:r>
        <w:rPr>
          <w:rFonts w:eastAsia="等线" w:ascii="Arial" w:cs="Arial" w:hAnsi="Arial"/>
          <w:sz w:val="22"/>
        </w:rPr>
        <w:t>：系统</w:t>
      </w:r>
      <w:r>
        <w:rPr>
          <w:rFonts w:eastAsia="等线" w:ascii="Arial" w:cs="Arial" w:hAnsi="Arial"/>
          <w:b w:val="true"/>
          <w:sz w:val="22"/>
        </w:rPr>
        <w:t>立即终止主流程</w:t>
      </w:r>
      <w:r>
        <w:rPr>
          <w:rFonts w:eastAsia="等线" w:ascii="Arial" w:cs="Arial" w:hAnsi="Arial"/>
          <w:sz w:val="22"/>
        </w:rPr>
        <w:t>，跳转至最终结论输出（必须申报安全评估）。</w:t>
      </w:r>
    </w:p>
    <w:p>
      <w:pPr>
        <w:numPr>
          <w:numId w:val="43"/>
        </w:numPr>
        <w:spacing w:before="120" w:after="120" w:line="288" w:lineRule="auto"/>
        <w:ind w:left="453"/>
        <w:jc w:val="left"/>
      </w:pPr>
      <w:r>
        <w:rPr>
          <w:rFonts w:eastAsia="等线" w:ascii="Arial" w:cs="Arial" w:hAnsi="Arial"/>
          <w:b w:val="true"/>
          <w:sz w:val="22"/>
        </w:rPr>
        <w:t>选择“否”</w:t>
      </w:r>
      <w:r>
        <w:rPr>
          <w:rFonts w:eastAsia="等线" w:ascii="Arial" w:cs="Arial" w:hAnsi="Arial"/>
          <w:sz w:val="22"/>
        </w:rPr>
        <w:t>：系统进入步骤五。</w:t>
      </w:r>
    </w:p>
    <w:p>
      <w:pPr>
        <w:numPr>
          <w:numId w:val="44"/>
        </w:numPr>
        <w:spacing w:before="120" w:after="120" w:line="288" w:lineRule="auto"/>
        <w:ind w:left="453"/>
        <w:jc w:val="left"/>
      </w:pPr>
      <w:r>
        <w:rPr>
          <w:rFonts w:eastAsia="等线" w:ascii="Arial" w:cs="Arial" w:hAnsi="Arial"/>
          <w:b w:val="true"/>
          <w:sz w:val="22"/>
        </w:rPr>
        <w:t>选择“不确定”</w:t>
      </w:r>
      <w:r>
        <w:rPr>
          <w:rFonts w:eastAsia="等线" w:ascii="Arial" w:cs="Arial" w:hAnsi="Arial"/>
          <w:sz w:val="22"/>
        </w:rPr>
        <w:t>：系统启动</w:t>
      </w:r>
      <w:r>
        <w:rPr>
          <w:rFonts w:eastAsia="等线" w:ascii="Arial" w:cs="Arial" w:hAnsi="Arial"/>
          <w:b w:val="true"/>
          <w:sz w:val="22"/>
        </w:rPr>
        <w:t>CIIO辅助判断子流程</w:t>
      </w:r>
      <w:r>
        <w:rPr>
          <w:rFonts w:eastAsia="等线" w:ascii="Arial" w:cs="Arial" w:hAnsi="Arial"/>
          <w:sz w:val="22"/>
        </w:rPr>
        <w:t>：</w:t>
      </w:r>
    </w:p>
    <w:p>
      <w:pPr>
        <w:numPr>
          <w:numId w:val="45"/>
        </w:numPr>
        <w:spacing w:before="120" w:after="120" w:line="288" w:lineRule="auto"/>
        <w:ind w:left="907"/>
        <w:jc w:val="left"/>
      </w:pPr>
      <w:r>
        <w:rPr>
          <w:rFonts w:eastAsia="等线" w:ascii="Arial" w:cs="Arial" w:hAnsi="Arial"/>
          <w:b w:val="true"/>
          <w:sz w:val="22"/>
        </w:rPr>
        <w:t>询问行业属性</w:t>
      </w:r>
      <w:r>
        <w:rPr>
          <w:rFonts w:eastAsia="等线" w:ascii="Arial" w:cs="Arial" w:hAnsi="Arial"/>
          <w:sz w:val="22"/>
        </w:rPr>
        <w:t xml:space="preserve">：“您的企业是否属于以下重要行业和领域：公共通信和信息服务、能源、交通、水利、金融、公共服务、电子政务、国防科工等？” </w:t>
      </w:r>
      <w:r>
        <w:rPr>
          <w:rFonts w:eastAsia="等线" w:ascii="Arial" w:cs="Arial" w:hAnsi="Arial"/>
          <w:sz w:val="22"/>
          <w:shd w:fill="fed4a4"/>
        </w:rPr>
        <w:t>【</w:t>
      </w:r>
      <w:r>
        <w:rPr>
          <w:rFonts w:eastAsia="等线" w:ascii="Arial" w:cs="Arial" w:hAnsi="Arial"/>
          <w:b w:val="true"/>
          <w:sz w:val="22"/>
          <w:shd w:fill="fed4a4"/>
        </w:rPr>
        <w:t>依据</w:t>
      </w:r>
      <w:r>
        <w:rPr>
          <w:rFonts w:eastAsia="等线" w:ascii="Arial" w:cs="Arial" w:hAnsi="Arial"/>
          <w:sz w:val="22"/>
          <w:shd w:fill="fed4a4"/>
        </w:rPr>
        <w:t>：《中华人民共和国网络安全法》第三十三条。】</w:t>
      </w:r>
    </w:p>
    <w:p>
      <w:pPr>
        <w:numPr>
          <w:numId w:val="46"/>
        </w:numPr>
        <w:spacing w:before="120" w:after="120" w:line="288" w:lineRule="auto"/>
        <w:ind w:left="907"/>
        <w:jc w:val="left"/>
      </w:pPr>
      <w:r>
        <w:rPr>
          <w:rFonts w:eastAsia="等线" w:ascii="Arial" w:cs="Arial" w:hAnsi="Arial"/>
          <w:b w:val="true"/>
          <w:sz w:val="22"/>
        </w:rPr>
        <w:t>询问官方通知</w:t>
      </w:r>
      <w:r>
        <w:rPr>
          <w:rFonts w:eastAsia="等线" w:ascii="Arial" w:cs="Arial" w:hAnsi="Arial"/>
          <w:sz w:val="22"/>
        </w:rPr>
        <w:t xml:space="preserve">：“您是否曾收到国家网信部门或行业主管监管部门的通知，被正式认定为关键信息基础设施运营者？” </w:t>
      </w:r>
      <w:r>
        <w:rPr>
          <w:rFonts w:eastAsia="等线" w:ascii="Arial" w:cs="Arial" w:hAnsi="Arial"/>
          <w:sz w:val="22"/>
          <w:shd w:fill="fed4a4"/>
        </w:rPr>
        <w:t>【</w:t>
      </w:r>
      <w:r>
        <w:rPr>
          <w:rFonts w:eastAsia="等线" w:ascii="Arial" w:cs="Arial" w:hAnsi="Arial"/>
          <w:b w:val="true"/>
          <w:sz w:val="22"/>
          <w:shd w:fill="fed4a4"/>
        </w:rPr>
        <w:t>依据</w:t>
      </w:r>
      <w:r>
        <w:rPr>
          <w:rFonts w:eastAsia="等线" w:ascii="Arial" w:cs="Arial" w:hAnsi="Arial"/>
          <w:sz w:val="22"/>
          <w:shd w:fill="fed4a4"/>
        </w:rPr>
        <w:t>：《关键信息基础设施安全保护条例》相关规定。】</w:t>
      </w:r>
    </w:p>
    <w:p>
      <w:pPr>
        <w:numPr>
          <w:numId w:val="47"/>
        </w:numPr>
        <w:spacing w:before="120" w:after="120" w:line="288" w:lineRule="auto"/>
        <w:ind w:left="907"/>
        <w:jc w:val="left"/>
      </w:pPr>
      <w:r>
        <w:rPr>
          <w:rFonts w:eastAsia="等线" w:ascii="Arial" w:cs="Arial" w:hAnsi="Arial"/>
          <w:b w:val="true"/>
          <w:sz w:val="22"/>
        </w:rPr>
        <w:t>判断与反馈</w:t>
      </w:r>
      <w:r>
        <w:rPr>
          <w:rFonts w:eastAsia="等线" w:ascii="Arial" w:cs="Arial" w:hAnsi="Arial"/>
          <w:sz w:val="22"/>
        </w:rPr>
        <w:t>：若用户确认属于重要行业且/或收到过认定通知，则提示“您很可能属于关键信息基础设施运营者，建议向主管部门确认。基于合规审慎原则，系统建议按CIIO处理。”并引导用户选择“是”。若用户确认不属于重要行业且未收到通知，则提示“根据现有信息，初步判断不属于CIIO。”并引导用户选择“否”。</w:t>
      </w:r>
    </w:p>
    <w:p>
      <w:pPr>
        <w:numPr>
          <w:numId w:val="48"/>
        </w:numPr>
        <w:spacing w:before="120" w:after="120" w:line="288" w:lineRule="auto"/>
        <w:ind w:left="0"/>
        <w:jc w:val="left"/>
      </w:pPr>
      <w:r>
        <w:rPr>
          <w:rFonts w:eastAsia="等线" w:ascii="Arial" w:cs="Arial" w:hAnsi="Arial"/>
          <w:b w:val="true"/>
          <w:sz w:val="22"/>
          <w:shd w:fill="fed4a4"/>
        </w:rPr>
        <w:t>该步骤整体依据</w:t>
      </w:r>
      <w:r>
        <w:rPr>
          <w:rFonts w:eastAsia="等线" w:ascii="Arial" w:cs="Arial" w:hAnsi="Arial"/>
          <w:sz w:val="22"/>
          <w:shd w:fill="fed4a4"/>
        </w:rPr>
        <w:t>：</w:t>
      </w:r>
    </w:p>
    <w:p>
      <w:pPr>
        <w:numPr>
          <w:numId w:val="49"/>
        </w:numPr>
        <w:spacing w:before="120" w:after="120" w:line="288" w:lineRule="auto"/>
        <w:ind w:left="453"/>
        <w:jc w:val="left"/>
      </w:pPr>
      <w:r>
        <w:rPr>
          <w:rFonts w:eastAsia="等线" w:ascii="Arial" w:cs="Arial" w:hAnsi="Arial"/>
          <w:b w:val="true"/>
          <w:sz w:val="22"/>
          <w:shd w:fill="fed4a4"/>
        </w:rPr>
        <w:t>核心判断依据</w:t>
      </w:r>
      <w:r>
        <w:rPr>
          <w:rFonts w:eastAsia="等线" w:ascii="Arial" w:cs="Arial" w:hAnsi="Arial"/>
          <w:sz w:val="22"/>
          <w:shd w:fill="fed4a4"/>
        </w:rPr>
        <w:t>：《促进和规范数据跨境流动规定》第七条：“关键信息基础设施运营者向境外提供个人信息或者重要数据，应当申报数据出境安全评估。”</w:t>
      </w:r>
    </w:p>
    <w:p>
      <w:pPr>
        <w:numPr>
          <w:numId w:val="50"/>
        </w:numPr>
        <w:spacing w:before="120" w:after="120" w:line="288" w:lineRule="auto"/>
        <w:ind w:left="453"/>
        <w:jc w:val="left"/>
      </w:pPr>
      <w:r>
        <w:rPr>
          <w:rFonts w:eastAsia="等线" w:ascii="Arial" w:cs="Arial" w:hAnsi="Arial"/>
          <w:b w:val="true"/>
          <w:sz w:val="22"/>
          <w:shd w:fill="fed4a4"/>
        </w:rPr>
        <w:t>概念依据</w:t>
      </w:r>
      <w:r>
        <w:rPr>
          <w:rFonts w:eastAsia="等线" w:ascii="Arial" w:cs="Arial" w:hAnsi="Arial"/>
          <w:sz w:val="22"/>
          <w:shd w:fill="fed4a4"/>
        </w:rPr>
        <w:t>：《中华人民共和国网络安全法》第三十三条：“国家对公共通信和信息服务、能源、交通、水利、金融、公共服务、电子政务等重要行业和领域，以及其他一旦遭到破坏、丧失功能或者数据泄露，可能严重危害国家安全、国计民生、公共利益的关键信息基础设施，在网络安全等级保护制度的基础上，实行重点保护。关键信息基础设施的具体范围和安全保护办法由国务院制定。”</w:t>
      </w:r>
    </w:p>
    <w:p>
      <w:pPr>
        <w:spacing w:before="120" w:after="120" w:line="288" w:lineRule="auto"/>
        <w:ind w:left="0"/>
        <w:jc w:val="left"/>
      </w:pPr>
      <w:r>
        <w:rPr>
          <w:rFonts w:eastAsia="等线" w:ascii="Arial" w:cs="Arial" w:hAnsi="Arial"/>
          <w:b w:val="true"/>
          <w:sz w:val="22"/>
        </w:rPr>
        <w:t>步骤五：区分与量化个人信息类型</w:t>
      </w:r>
    </w:p>
    <w:p>
      <w:pPr>
        <w:spacing w:before="120" w:after="120" w:line="288" w:lineRule="auto"/>
        <w:ind w:left="0"/>
        <w:jc w:val="left"/>
      </w:pPr>
      <w:r>
        <w:rPr>
          <w:rFonts w:eastAsia="等线" w:ascii="Arial" w:cs="Arial" w:hAnsi="Arial"/>
          <w:sz w:val="22"/>
        </w:rPr>
        <w:t>此步骤开始进行核心的量化判断路径。</w:t>
      </w:r>
    </w:p>
    <w:p>
      <w:pPr>
        <w:numPr>
          <w:numId w:val="51"/>
        </w:numPr>
        <w:spacing w:before="120" w:after="120" w:line="288" w:lineRule="auto"/>
        <w:ind w:left="0"/>
        <w:jc w:val="left"/>
      </w:pPr>
      <w:r>
        <w:rPr>
          <w:rFonts w:eastAsia="等线" w:ascii="Arial" w:cs="Arial" w:hAnsi="Arial"/>
          <w:b w:val="true"/>
          <w:sz w:val="22"/>
        </w:rPr>
        <w:t>用户输入</w:t>
      </w:r>
      <w:r>
        <w:rPr>
          <w:rFonts w:eastAsia="等线" w:ascii="Arial" w:cs="Arial" w:hAnsi="Arial"/>
          <w:sz w:val="22"/>
        </w:rPr>
        <w:t>：首先回答“自今年1月1日起，您累计向境外提供的个人信息，主要涉及哪种类型？” 选项为：A. 仅涉及一般个人信息；B. 涉及敏感个人信息；C. 不确定。</w:t>
      </w:r>
    </w:p>
    <w:p>
      <w:pPr>
        <w:numPr>
          <w:numId w:val="52"/>
        </w:numPr>
        <w:spacing w:before="120" w:after="120" w:line="288" w:lineRule="auto"/>
        <w:ind w:left="0"/>
        <w:jc w:val="left"/>
      </w:pPr>
      <w:r>
        <w:rPr>
          <w:rFonts w:eastAsia="等线" w:ascii="Arial" w:cs="Arial" w:hAnsi="Arial"/>
          <w:b w:val="true"/>
          <w:sz w:val="22"/>
        </w:rPr>
        <w:t>系统诊断逻辑</w:t>
      </w:r>
      <w:r>
        <w:rPr>
          <w:rFonts w:eastAsia="等线" w:ascii="Arial" w:cs="Arial" w:hAnsi="Arial"/>
          <w:sz w:val="22"/>
        </w:rPr>
        <w:t>：</w:t>
      </w:r>
    </w:p>
    <w:p>
      <w:pPr>
        <w:numPr>
          <w:numId w:val="53"/>
        </w:numPr>
        <w:spacing w:before="120" w:after="120" w:line="288" w:lineRule="auto"/>
        <w:ind w:left="453"/>
        <w:jc w:val="left"/>
      </w:pPr>
      <w:r>
        <w:rPr>
          <w:rFonts w:eastAsia="等线" w:ascii="Arial" w:cs="Arial" w:hAnsi="Arial"/>
          <w:b w:val="true"/>
          <w:sz w:val="22"/>
        </w:rPr>
        <w:t>选择A或B</w:t>
      </w:r>
      <w:r>
        <w:rPr>
          <w:rFonts w:eastAsia="等线" w:ascii="Arial" w:cs="Arial" w:hAnsi="Arial"/>
          <w:sz w:val="22"/>
        </w:rPr>
        <w:t>：进入相应的量化子步骤。</w:t>
      </w:r>
    </w:p>
    <w:p>
      <w:pPr>
        <w:numPr>
          <w:numId w:val="54"/>
        </w:numPr>
        <w:spacing w:before="120" w:after="120" w:line="288" w:lineRule="auto"/>
        <w:ind w:left="453"/>
        <w:jc w:val="left"/>
      </w:pPr>
      <w:r>
        <w:rPr>
          <w:rFonts w:eastAsia="等线" w:ascii="Arial" w:cs="Arial" w:hAnsi="Arial"/>
          <w:b w:val="true"/>
          <w:sz w:val="22"/>
        </w:rPr>
        <w:t>选择C（不确定）</w:t>
      </w:r>
      <w:r>
        <w:rPr>
          <w:rFonts w:eastAsia="等线" w:ascii="Arial" w:cs="Arial" w:hAnsi="Arial"/>
          <w:sz w:val="22"/>
        </w:rPr>
        <w:t>：系统启动</w:t>
      </w:r>
      <w:r>
        <w:rPr>
          <w:rFonts w:eastAsia="等线" w:ascii="Arial" w:cs="Arial" w:hAnsi="Arial"/>
          <w:b w:val="true"/>
          <w:sz w:val="22"/>
        </w:rPr>
        <w:t>个人信息类型辅助判断子流程</w:t>
      </w:r>
      <w:r>
        <w:rPr>
          <w:rFonts w:eastAsia="等线" w:ascii="Arial" w:cs="Arial" w:hAnsi="Arial"/>
          <w:sz w:val="22"/>
        </w:rPr>
        <w:t>：</w:t>
      </w:r>
    </w:p>
    <w:p>
      <w:pPr>
        <w:numPr>
          <w:numId w:val="55"/>
        </w:numPr>
        <w:spacing w:before="120" w:after="120" w:line="288" w:lineRule="auto"/>
        <w:ind w:left="907"/>
        <w:jc w:val="left"/>
      </w:pPr>
      <w:r>
        <w:rPr>
          <w:rFonts w:eastAsia="等线" w:ascii="Arial" w:cs="Arial" w:hAnsi="Arial"/>
          <w:b w:val="true"/>
          <w:sz w:val="22"/>
        </w:rPr>
        <w:t>提供敏感个人信息清单</w:t>
      </w:r>
      <w:r>
        <w:rPr>
          <w:rFonts w:eastAsia="等线" w:ascii="Arial" w:cs="Arial" w:hAnsi="Arial"/>
          <w:sz w:val="22"/>
        </w:rPr>
        <w:t xml:space="preserve">：“请核对，拟出境信息中是否包含以下任何一类：生物识别信息（如人脸、指纹）、宗教信仰、特定身份（如犯罪记录）、医疗健康、金融账户、行踪轨迹信息，或不满十四周岁未成年人的个人信息？” </w:t>
      </w:r>
      <w:r>
        <w:rPr>
          <w:rFonts w:eastAsia="等线" w:ascii="Arial" w:cs="Arial" w:hAnsi="Arial"/>
          <w:sz w:val="22"/>
          <w:shd w:fill="fed4a4"/>
        </w:rPr>
        <w:t>【</w:t>
      </w:r>
      <w:r>
        <w:rPr>
          <w:rFonts w:eastAsia="等线" w:ascii="Arial" w:cs="Arial" w:hAnsi="Arial"/>
          <w:b w:val="true"/>
          <w:sz w:val="22"/>
          <w:shd w:fill="fed4a4"/>
        </w:rPr>
        <w:t>依据</w:t>
      </w:r>
      <w:r>
        <w:rPr>
          <w:rFonts w:eastAsia="等线" w:ascii="Arial" w:cs="Arial" w:hAnsi="Arial"/>
          <w:sz w:val="22"/>
          <w:shd w:fill="fed4a4"/>
        </w:rPr>
        <w:t>：《中华人民共和国个人信息保护法》第二十八条。】</w:t>
      </w:r>
    </w:p>
    <w:p>
      <w:pPr>
        <w:numPr>
          <w:numId w:val="56"/>
        </w:numPr>
        <w:spacing w:before="120" w:after="120" w:line="288" w:lineRule="auto"/>
        <w:ind w:left="907"/>
        <w:jc w:val="left"/>
      </w:pPr>
      <w:r>
        <w:rPr>
          <w:rFonts w:eastAsia="等线" w:ascii="Arial" w:cs="Arial" w:hAnsi="Arial"/>
          <w:b w:val="true"/>
          <w:sz w:val="22"/>
        </w:rPr>
        <w:t>判断与反馈</w:t>
      </w:r>
      <w:r>
        <w:rPr>
          <w:rFonts w:eastAsia="等线" w:ascii="Arial" w:cs="Arial" w:hAnsi="Arial"/>
          <w:sz w:val="22"/>
        </w:rPr>
        <w:t>：若用户确认包含清单中任何信息，则提示“根据您的描述，涉及敏感个人信息。”并引导用户选择B。若用户确认不包含，则提示“根据您的描述，仅涉及一般个人信息。”并引导用户选择A。</w:t>
      </w:r>
    </w:p>
    <w:p>
      <w:pPr>
        <w:spacing w:before="120" w:after="120" w:line="288" w:lineRule="auto"/>
        <w:ind w:left="0"/>
        <w:jc w:val="left"/>
      </w:pPr>
      <w:r>
        <w:rPr>
          <w:rFonts w:eastAsia="等线" w:ascii="Arial" w:cs="Arial" w:hAnsi="Arial"/>
          <w:b w:val="true"/>
          <w:sz w:val="22"/>
        </w:rPr>
        <w:t>步骤五（A）子路径：量化一般个人信息</w:t>
      </w:r>
    </w:p>
    <w:p>
      <w:pPr>
        <w:numPr>
          <w:numId w:val="57"/>
        </w:numPr>
        <w:spacing w:before="120" w:after="120" w:line="288" w:lineRule="auto"/>
        <w:ind w:left="0"/>
        <w:jc w:val="left"/>
      </w:pPr>
      <w:r>
        <w:rPr>
          <w:rFonts w:eastAsia="等线" w:ascii="Arial" w:cs="Arial" w:hAnsi="Arial"/>
          <w:b w:val="true"/>
          <w:sz w:val="22"/>
        </w:rPr>
        <w:t>用户输入</w:t>
      </w:r>
      <w:r>
        <w:rPr>
          <w:rFonts w:eastAsia="等线" w:ascii="Arial" w:cs="Arial" w:hAnsi="Arial"/>
          <w:sz w:val="22"/>
        </w:rPr>
        <w:t>：选择A后，回答“请估算，自今年1月1日起，您累计向境外提供的一般个人信息总人数约为？” 选项为：不足10万人；10万人以上，但未达到100万人；100万人以上；无法估算。</w:t>
      </w:r>
    </w:p>
    <w:p>
      <w:pPr>
        <w:numPr>
          <w:numId w:val="58"/>
        </w:numPr>
        <w:spacing w:before="120" w:after="120" w:line="288" w:lineRule="auto"/>
        <w:ind w:left="0"/>
        <w:jc w:val="left"/>
      </w:pPr>
      <w:r>
        <w:rPr>
          <w:rFonts w:eastAsia="等线" w:ascii="Arial" w:cs="Arial" w:hAnsi="Arial"/>
          <w:b w:val="true"/>
          <w:sz w:val="22"/>
        </w:rPr>
        <w:t>系统诊断逻辑</w:t>
      </w:r>
      <w:r>
        <w:rPr>
          <w:rFonts w:eastAsia="等线" w:ascii="Arial" w:cs="Arial" w:hAnsi="Arial"/>
          <w:sz w:val="22"/>
        </w:rPr>
        <w:t>：</w:t>
      </w:r>
    </w:p>
    <w:p>
      <w:pPr>
        <w:numPr>
          <w:numId w:val="59"/>
        </w:numPr>
        <w:spacing w:before="120" w:after="120" w:line="288" w:lineRule="auto"/>
        <w:ind w:left="453"/>
        <w:jc w:val="left"/>
      </w:pPr>
      <w:r>
        <w:rPr>
          <w:rFonts w:eastAsia="等线" w:ascii="Arial" w:cs="Arial" w:hAnsi="Arial"/>
          <w:b w:val="true"/>
          <w:sz w:val="22"/>
        </w:rPr>
        <w:t>选择具体数量区间</w:t>
      </w:r>
      <w:r>
        <w:rPr>
          <w:rFonts w:eastAsia="等线" w:ascii="Arial" w:cs="Arial" w:hAnsi="Arial"/>
          <w:sz w:val="22"/>
        </w:rPr>
        <w:t>：根据选择输出对应结论（豁免/标准合同或认证/安全评估）。</w:t>
      </w:r>
    </w:p>
    <w:p>
      <w:pPr>
        <w:numPr>
          <w:numId w:val="60"/>
        </w:numPr>
        <w:spacing w:before="120" w:after="120" w:line="288" w:lineRule="auto"/>
        <w:ind w:left="453"/>
        <w:jc w:val="left"/>
      </w:pPr>
      <w:r>
        <w:rPr>
          <w:rFonts w:eastAsia="等线" w:ascii="Arial" w:cs="Arial" w:hAnsi="Arial"/>
          <w:b w:val="true"/>
          <w:sz w:val="22"/>
        </w:rPr>
        <w:t>选择“无法估算”</w:t>
      </w:r>
      <w:r>
        <w:rPr>
          <w:rFonts w:eastAsia="等线" w:ascii="Arial" w:cs="Arial" w:hAnsi="Arial"/>
          <w:sz w:val="22"/>
        </w:rPr>
        <w:t>：系统提供指导：“请根据您的业务规模、用户基数、出境频率进行估算。例如：日均/月均出境人数 × 天数/月数。若确实无法估算，建议进行数据盘点。基于合规审慎原则，若无法排除超过100万人的可能性，建议按最高合规要求（安全评估）准备。”并引导用户尽可能选择一个区间。</w:t>
      </w:r>
    </w:p>
    <w:p>
      <w:pPr>
        <w:numPr>
          <w:numId w:val="61"/>
        </w:numPr>
        <w:spacing w:before="120" w:after="120" w:line="288" w:lineRule="auto"/>
        <w:ind w:left="0"/>
        <w:jc w:val="left"/>
      </w:pPr>
      <w:r>
        <w:rPr>
          <w:rFonts w:eastAsia="等线" w:ascii="Arial" w:cs="Arial" w:hAnsi="Arial"/>
          <w:b w:val="true"/>
          <w:sz w:val="22"/>
          <w:shd w:fill="fed4a4"/>
        </w:rPr>
        <w:t>该步骤整体依据</w:t>
      </w:r>
      <w:r>
        <w:rPr>
          <w:rFonts w:eastAsia="等线" w:ascii="Arial" w:cs="Arial" w:hAnsi="Arial"/>
          <w:sz w:val="22"/>
          <w:shd w:fill="fed4a4"/>
        </w:rPr>
        <w:t>：</w:t>
      </w:r>
    </w:p>
    <w:p>
      <w:pPr>
        <w:numPr>
          <w:numId w:val="62"/>
        </w:numPr>
        <w:spacing w:before="120" w:after="120" w:line="288" w:lineRule="auto"/>
        <w:ind w:left="453"/>
        <w:jc w:val="left"/>
      </w:pPr>
      <w:r>
        <w:rPr>
          <w:rFonts w:eastAsia="等线" w:ascii="Arial" w:cs="Arial" w:hAnsi="Arial"/>
          <w:sz w:val="22"/>
          <w:shd w:fill="fed4a4"/>
        </w:rPr>
        <w:t>《促进和规范数据跨境流动规定》第五条（豁免）、第八条（标准合同/认证）、第七条（安全评估）。</w:t>
      </w:r>
    </w:p>
    <w:p>
      <w:pPr>
        <w:spacing w:before="120" w:after="120" w:line="288" w:lineRule="auto"/>
        <w:ind w:left="0"/>
        <w:jc w:val="left"/>
      </w:pPr>
      <w:r>
        <w:rPr>
          <w:rFonts w:eastAsia="等线" w:ascii="Arial" w:cs="Arial" w:hAnsi="Arial"/>
          <w:b w:val="true"/>
          <w:sz w:val="22"/>
        </w:rPr>
        <w:t>步骤五（B）子路径：量化敏感个人信息</w:t>
      </w:r>
    </w:p>
    <w:p>
      <w:pPr>
        <w:numPr>
          <w:numId w:val="63"/>
        </w:numPr>
        <w:spacing w:before="120" w:after="120" w:line="288" w:lineRule="auto"/>
        <w:ind w:left="0"/>
        <w:jc w:val="left"/>
      </w:pPr>
      <w:r>
        <w:rPr>
          <w:rFonts w:eastAsia="等线" w:ascii="Arial" w:cs="Arial" w:hAnsi="Arial"/>
          <w:b w:val="true"/>
          <w:sz w:val="22"/>
        </w:rPr>
        <w:t>用户输入</w:t>
      </w:r>
      <w:r>
        <w:rPr>
          <w:rFonts w:eastAsia="等线" w:ascii="Arial" w:cs="Arial" w:hAnsi="Arial"/>
          <w:sz w:val="22"/>
        </w:rPr>
        <w:t>：选择B后，回答“请估算，自今年1月1日起，您累计向境外提供的敏感个人信息总人数约为？” 选项为：不足1万人；1万人以上；无法估算。</w:t>
      </w:r>
    </w:p>
    <w:p>
      <w:pPr>
        <w:numPr>
          <w:numId w:val="64"/>
        </w:numPr>
        <w:spacing w:before="120" w:after="120" w:line="288" w:lineRule="auto"/>
        <w:ind w:left="0"/>
        <w:jc w:val="left"/>
      </w:pPr>
      <w:r>
        <w:rPr>
          <w:rFonts w:eastAsia="等线" w:ascii="Arial" w:cs="Arial" w:hAnsi="Arial"/>
          <w:b w:val="true"/>
          <w:sz w:val="22"/>
        </w:rPr>
        <w:t>系统诊断逻辑</w:t>
      </w:r>
      <w:r>
        <w:rPr>
          <w:rFonts w:eastAsia="等线" w:ascii="Arial" w:cs="Arial" w:hAnsi="Arial"/>
          <w:sz w:val="22"/>
        </w:rPr>
        <w:t>：</w:t>
      </w:r>
    </w:p>
    <w:p>
      <w:pPr>
        <w:numPr>
          <w:numId w:val="65"/>
        </w:numPr>
        <w:spacing w:before="120" w:after="120" w:line="288" w:lineRule="auto"/>
        <w:ind w:left="453"/>
        <w:jc w:val="left"/>
      </w:pPr>
      <w:r>
        <w:rPr>
          <w:rFonts w:eastAsia="等线" w:ascii="Arial" w:cs="Arial" w:hAnsi="Arial"/>
          <w:b w:val="true"/>
          <w:sz w:val="22"/>
        </w:rPr>
        <w:t>选择具体数量区间</w:t>
      </w:r>
      <w:r>
        <w:rPr>
          <w:rFonts w:eastAsia="等线" w:ascii="Arial" w:cs="Arial" w:hAnsi="Arial"/>
          <w:sz w:val="22"/>
        </w:rPr>
        <w:t>：根据选择输出对应结论（标准合同或认证/安全评估）。</w:t>
      </w:r>
    </w:p>
    <w:p>
      <w:pPr>
        <w:numPr>
          <w:numId w:val="66"/>
        </w:numPr>
        <w:spacing w:before="120" w:after="120" w:line="288" w:lineRule="auto"/>
        <w:ind w:left="453"/>
        <w:jc w:val="left"/>
      </w:pPr>
      <w:r>
        <w:rPr>
          <w:rFonts w:eastAsia="等线" w:ascii="Arial" w:cs="Arial" w:hAnsi="Arial"/>
          <w:b w:val="true"/>
          <w:sz w:val="22"/>
        </w:rPr>
        <w:t>选择“无法估算”</w:t>
      </w:r>
      <w:r>
        <w:rPr>
          <w:rFonts w:eastAsia="等线" w:ascii="Arial" w:cs="Arial" w:hAnsi="Arial"/>
          <w:sz w:val="22"/>
        </w:rPr>
        <w:t>：系统提供指导：“请根据涉及敏感个人信息的业务场景（如人脸识别登录、跨境医疗、跨境金融等）的用户规模进行估算。基于合规审慎原则，若无法排除超过1万人的可能性，建议按最高合规要求（安全评估）准备。”并引导用户尽可能选择一个区间。</w:t>
      </w:r>
    </w:p>
    <w:p>
      <w:pPr>
        <w:numPr>
          <w:numId w:val="67"/>
        </w:numPr>
        <w:spacing w:before="120" w:after="120" w:line="288" w:lineRule="auto"/>
        <w:ind w:left="0"/>
        <w:jc w:val="left"/>
      </w:pPr>
      <w:r>
        <w:rPr>
          <w:rFonts w:eastAsia="等线" w:ascii="Arial" w:cs="Arial" w:hAnsi="Arial"/>
          <w:b w:val="true"/>
          <w:sz w:val="22"/>
          <w:shd w:fill="fed4a4"/>
        </w:rPr>
        <w:t>该步骤整体依据</w:t>
      </w:r>
      <w:r>
        <w:rPr>
          <w:rFonts w:eastAsia="等线" w:ascii="Arial" w:cs="Arial" w:hAnsi="Arial"/>
          <w:sz w:val="22"/>
          <w:shd w:fill="fed4a4"/>
        </w:rPr>
        <w:t>：</w:t>
      </w:r>
    </w:p>
    <w:p>
      <w:pPr>
        <w:numPr>
          <w:numId w:val="68"/>
        </w:numPr>
        <w:spacing w:before="120" w:after="120" w:line="288" w:lineRule="auto"/>
        <w:ind w:left="453"/>
        <w:jc w:val="left"/>
      </w:pPr>
      <w:r>
        <w:rPr>
          <w:rFonts w:eastAsia="等线" w:ascii="Arial" w:cs="Arial" w:hAnsi="Arial"/>
          <w:sz w:val="22"/>
          <w:shd w:fill="fed4a4"/>
        </w:rPr>
        <w:t>《促进和规范数据跨境流动规定》第八条（标准合同/认证）、第七条（安全评估）。</w:t>
      </w:r>
    </w:p>
    <w:p>
      <w:pPr>
        <w:numPr>
          <w:numId w:val="69"/>
        </w:numPr>
        <w:spacing w:before="120" w:after="120" w:line="288" w:lineRule="auto"/>
        <w:ind w:left="453"/>
        <w:jc w:val="left"/>
      </w:pPr>
      <w:r>
        <w:rPr>
          <w:rFonts w:eastAsia="等线" w:ascii="Arial" w:cs="Arial" w:hAnsi="Arial"/>
          <w:b w:val="true"/>
          <w:sz w:val="22"/>
          <w:shd w:fill="fed4a4"/>
        </w:rPr>
        <w:t>概念依据</w:t>
      </w:r>
      <w:r>
        <w:rPr>
          <w:rFonts w:eastAsia="等线" w:ascii="Arial" w:cs="Arial" w:hAnsi="Arial"/>
          <w:sz w:val="22"/>
          <w:shd w:fill="fed4a4"/>
        </w:rPr>
        <w:t>：《中华人民共和国个人信息保护法》第二十八条。</w:t>
      </w:r>
    </w:p>
    <w:p>
      <w:pPr>
        <w:pStyle w:val="3"/>
        <w:spacing w:before="300" w:after="120" w:line="288" w:lineRule="auto"/>
        <w:ind w:left="0"/>
        <w:jc w:val="left"/>
        <w:outlineLvl w:val="2"/>
      </w:pPr>
      <w:bookmarkStart w:name="heading_4" w:id="4"/>
      <w:r>
        <w:rPr>
          <w:rFonts w:eastAsia="等线" w:ascii="Arial" w:cs="Arial" w:hAnsi="Arial"/>
          <w:b w:val="true"/>
          <w:sz w:val="30"/>
        </w:rPr>
        <w:t xml:space="preserve">三、 系统输出 </w:t>
      </w:r>
      <w:bookmarkEnd w:id="4"/>
    </w:p>
    <w:p>
      <w:pPr>
        <w:spacing w:before="120" w:after="120" w:line="288" w:lineRule="auto"/>
        <w:ind w:left="0"/>
        <w:jc w:val="left"/>
      </w:pPr>
      <w:r>
        <w:rPr>
          <w:rFonts w:eastAsia="等线" w:ascii="Arial" w:cs="Arial" w:hAnsi="Arial"/>
          <w:sz w:val="22"/>
        </w:rPr>
        <w:t>诊断流程终止后，系统生成并交付文件《合规路径诊断报告》，具有以下内容：</w:t>
      </w:r>
    </w:p>
    <w:p>
      <w:pPr>
        <w:numPr>
          <w:numId w:val="70"/>
        </w:numPr>
        <w:spacing w:before="120" w:after="120" w:line="288" w:lineRule="auto"/>
        <w:ind w:left="0"/>
        <w:jc w:val="left"/>
      </w:pPr>
      <w:r>
        <w:rPr>
          <w:rFonts w:eastAsia="等线" w:ascii="Arial" w:cs="Arial" w:hAnsi="Arial"/>
          <w:b w:val="true"/>
          <w:sz w:val="22"/>
        </w:rPr>
        <w:t>核心结论</w:t>
      </w:r>
      <w:r>
        <w:rPr>
          <w:rFonts w:eastAsia="等线" w:ascii="Arial" w:cs="Arial" w:hAnsi="Arial"/>
          <w:sz w:val="22"/>
        </w:rPr>
        <w:t>：以上述逻辑推导出的最终合规路径。</w:t>
      </w:r>
    </w:p>
    <w:p>
      <w:pPr>
        <w:numPr>
          <w:numId w:val="71"/>
        </w:numPr>
        <w:spacing w:before="120" w:after="120" w:line="288" w:lineRule="auto"/>
        <w:ind w:left="0"/>
        <w:jc w:val="left"/>
      </w:pPr>
      <w:r>
        <w:rPr>
          <w:rFonts w:eastAsia="等线" w:ascii="Arial" w:cs="Arial" w:hAnsi="Arial"/>
          <w:b w:val="true"/>
          <w:sz w:val="22"/>
        </w:rPr>
        <w:t>结构化诊断报告</w:t>
      </w:r>
      <w:r>
        <w:rPr>
          <w:rFonts w:eastAsia="等线" w:ascii="Arial" w:cs="Arial" w:hAnsi="Arial"/>
          <w:sz w:val="22"/>
        </w:rPr>
        <w:t>：包括用户答案摘要、判定逻辑树、逐条法规依据、核心风险提示、后续行动建议。</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994608">
    <w:lvl>
      <w:start w:val="1"/>
      <w:numFmt w:val="decimal"/>
      <w:suff w:val="tab"/>
      <w:lvlText w:val="%1."/>
      <w:rPr>
        <w:color w:val="3370ff"/>
      </w:rPr>
    </w:lvl>
  </w:abstractNum>
  <w:abstractNum w:abstractNumId="1994609">
    <w:lvl>
      <w:start w:val="2"/>
      <w:numFmt w:val="decimal"/>
      <w:suff w:val="tab"/>
      <w:lvlText w:val="%1."/>
      <w:rPr>
        <w:color w:val="3370ff"/>
      </w:rPr>
    </w:lvl>
  </w:abstractNum>
  <w:abstractNum w:abstractNumId="1994610">
    <w:lvl>
      <w:start w:val="3"/>
      <w:numFmt w:val="decimal"/>
      <w:suff w:val="tab"/>
      <w:lvlText w:val="%1."/>
      <w:rPr>
        <w:color w:val="3370ff"/>
      </w:rPr>
    </w:lvl>
  </w:abstractNum>
  <w:abstractNum w:abstractNumId="1994611">
    <w:lvl>
      <w:start w:val="4"/>
      <w:numFmt w:val="decimal"/>
      <w:suff w:val="tab"/>
      <w:lvlText w:val="%1."/>
      <w:rPr>
        <w:color w:val="3370ff"/>
      </w:rPr>
    </w:lvl>
  </w:abstractNum>
  <w:abstractNum w:abstractNumId="1994612">
    <w:lvl>
      <w:start w:val="5"/>
      <w:numFmt w:val="decimal"/>
      <w:suff w:val="tab"/>
      <w:lvlText w:val="%1."/>
      <w:rPr>
        <w:color w:val="3370ff"/>
      </w:rPr>
    </w:lvl>
  </w:abstractNum>
  <w:abstractNum w:abstractNumId="1994613">
    <w:lvl>
      <w:numFmt w:val="bullet"/>
      <w:suff w:val="tab"/>
      <w:lvlText w:val="•"/>
      <w:rPr>
        <w:color w:val="3370ff"/>
      </w:rPr>
    </w:lvl>
  </w:abstractNum>
  <w:abstractNum w:abstractNumId="1994614">
    <w:lvl>
      <w:numFmt w:val="bullet"/>
      <w:suff w:val="tab"/>
      <w:lvlText w:val="•"/>
      <w:rPr>
        <w:color w:val="3370ff"/>
      </w:rPr>
    </w:lvl>
  </w:abstractNum>
  <w:abstractNum w:abstractNumId="1994615">
    <w:lvl>
      <w:start w:val="1"/>
      <w:numFmt w:val="lowerLetter"/>
      <w:suff w:val="tab"/>
      <w:lvlText w:val="%1."/>
      <w:rPr>
        <w:color w:val="3370ff"/>
      </w:rPr>
    </w:lvl>
  </w:abstractNum>
  <w:abstractNum w:abstractNumId="1994616">
    <w:lvl>
      <w:start w:val="2"/>
      <w:numFmt w:val="lowerLetter"/>
      <w:suff w:val="tab"/>
      <w:lvlText w:val="%1."/>
      <w:rPr>
        <w:color w:val="3370ff"/>
      </w:rPr>
    </w:lvl>
  </w:abstractNum>
  <w:abstractNum w:abstractNumId="1994617">
    <w:lvl>
      <w:start w:val="3"/>
      <w:numFmt w:val="lowerLetter"/>
      <w:suff w:val="tab"/>
      <w:lvlText w:val="%1."/>
      <w:rPr>
        <w:color w:val="3370ff"/>
      </w:rPr>
    </w:lvl>
  </w:abstractNum>
  <w:abstractNum w:abstractNumId="1994618">
    <w:lvl>
      <w:numFmt w:val="bullet"/>
      <w:suff w:val="tab"/>
      <w:lvlText w:val="▪"/>
      <w:rPr>
        <w:color w:val="3370ff"/>
        <w:sz w:val="11"/>
      </w:rPr>
    </w:lvl>
  </w:abstractNum>
  <w:abstractNum w:abstractNumId="1994619">
    <w:lvl>
      <w:numFmt w:val="bullet"/>
      <w:suff w:val="tab"/>
      <w:lvlText w:val="▪"/>
      <w:rPr>
        <w:color w:val="3370ff"/>
        <w:sz w:val="11"/>
      </w:rPr>
    </w:lvl>
  </w:abstractNum>
  <w:abstractNum w:abstractNumId="1994620">
    <w:lvl>
      <w:numFmt w:val="bullet"/>
      <w:suff w:val="tab"/>
      <w:lvlText w:val="▪"/>
      <w:rPr>
        <w:color w:val="3370ff"/>
        <w:sz w:val="11"/>
      </w:rPr>
    </w:lvl>
  </w:abstractNum>
  <w:abstractNum w:abstractNumId="1994621">
    <w:lvl>
      <w:numFmt w:val="bullet"/>
      <w:suff w:val="tab"/>
      <w:lvlText w:val="•"/>
      <w:rPr>
        <w:color w:val="3370ff"/>
      </w:rPr>
    </w:lvl>
  </w:abstractNum>
  <w:abstractNum w:abstractNumId="1994622">
    <w:lvl>
      <w:numFmt w:val="bullet"/>
      <w:suff w:val="tab"/>
      <w:lvlText w:val="￮"/>
      <w:rPr>
        <w:color w:val="3370ff"/>
      </w:rPr>
    </w:lvl>
  </w:abstractNum>
  <w:abstractNum w:abstractNumId="1994623">
    <w:lvl>
      <w:numFmt w:val="bullet"/>
      <w:suff w:val="tab"/>
      <w:lvlText w:val="￮"/>
      <w:rPr>
        <w:color w:val="3370ff"/>
      </w:rPr>
    </w:lvl>
  </w:abstractNum>
  <w:abstractNum w:abstractNumId="1994624">
    <w:lvl>
      <w:numFmt w:val="bullet"/>
      <w:suff w:val="tab"/>
      <w:lvlText w:val="•"/>
      <w:rPr>
        <w:color w:val="3370ff"/>
      </w:rPr>
    </w:lvl>
  </w:abstractNum>
  <w:abstractNum w:abstractNumId="1994625">
    <w:lvl>
      <w:numFmt w:val="bullet"/>
      <w:suff w:val="tab"/>
      <w:lvlText w:val="•"/>
      <w:rPr>
        <w:color w:val="3370ff"/>
      </w:rPr>
    </w:lvl>
  </w:abstractNum>
  <w:abstractNum w:abstractNumId="1994626">
    <w:lvl>
      <w:start w:val="1"/>
      <w:numFmt w:val="lowerLetter"/>
      <w:suff w:val="tab"/>
      <w:lvlText w:val="%1."/>
      <w:rPr>
        <w:color w:val="3370ff"/>
      </w:rPr>
    </w:lvl>
  </w:abstractNum>
  <w:abstractNum w:abstractNumId="1994627">
    <w:lvl>
      <w:start w:val="2"/>
      <w:numFmt w:val="lowerLetter"/>
      <w:suff w:val="tab"/>
      <w:lvlText w:val="%1."/>
      <w:rPr>
        <w:color w:val="3370ff"/>
      </w:rPr>
    </w:lvl>
  </w:abstractNum>
  <w:abstractNum w:abstractNumId="1994628">
    <w:lvl>
      <w:start w:val="3"/>
      <w:numFmt w:val="lowerLetter"/>
      <w:suff w:val="tab"/>
      <w:lvlText w:val="%1."/>
      <w:rPr>
        <w:color w:val="3370ff"/>
      </w:rPr>
    </w:lvl>
  </w:abstractNum>
  <w:abstractNum w:abstractNumId="1994629">
    <w:lvl>
      <w:numFmt w:val="bullet"/>
      <w:suff w:val="tab"/>
      <w:lvlText w:val="▪"/>
      <w:rPr>
        <w:color w:val="3370ff"/>
        <w:sz w:val="11"/>
      </w:rPr>
    </w:lvl>
  </w:abstractNum>
  <w:abstractNum w:abstractNumId="1994630">
    <w:lvl>
      <w:numFmt w:val="bullet"/>
      <w:suff w:val="tab"/>
      <w:lvlText w:val="▪"/>
      <w:rPr>
        <w:color w:val="3370ff"/>
        <w:sz w:val="11"/>
      </w:rPr>
    </w:lvl>
  </w:abstractNum>
  <w:abstractNum w:abstractNumId="1994631">
    <w:lvl>
      <w:numFmt w:val="bullet"/>
      <w:suff w:val="tab"/>
      <w:lvlText w:val="•"/>
      <w:rPr>
        <w:color w:val="3370ff"/>
      </w:rPr>
    </w:lvl>
  </w:abstractNum>
  <w:abstractNum w:abstractNumId="1994632">
    <w:lvl>
      <w:numFmt w:val="bullet"/>
      <w:suff w:val="tab"/>
      <w:lvlText w:val="￮"/>
      <w:rPr>
        <w:color w:val="3370ff"/>
      </w:rPr>
    </w:lvl>
  </w:abstractNum>
  <w:abstractNum w:abstractNumId="1994633">
    <w:lvl>
      <w:numFmt w:val="bullet"/>
      <w:suff w:val="tab"/>
      <w:lvlText w:val="￮"/>
      <w:rPr>
        <w:color w:val="3370ff"/>
      </w:rPr>
    </w:lvl>
  </w:abstractNum>
  <w:abstractNum w:abstractNumId="1994634">
    <w:lvl>
      <w:numFmt w:val="bullet"/>
      <w:suff w:val="tab"/>
      <w:lvlText w:val="•"/>
      <w:rPr>
        <w:color w:val="3370ff"/>
      </w:rPr>
    </w:lvl>
  </w:abstractNum>
  <w:abstractNum w:abstractNumId="1994635">
    <w:lvl>
      <w:numFmt w:val="bullet"/>
      <w:suff w:val="tab"/>
      <w:lvlText w:val="•"/>
      <w:rPr>
        <w:color w:val="3370ff"/>
      </w:rPr>
    </w:lvl>
  </w:abstractNum>
  <w:abstractNum w:abstractNumId="1994636">
    <w:lvl>
      <w:start w:val="1"/>
      <w:numFmt w:val="lowerLetter"/>
      <w:suff w:val="tab"/>
      <w:lvlText w:val="%1."/>
      <w:rPr>
        <w:color w:val="3370ff"/>
      </w:rPr>
    </w:lvl>
  </w:abstractNum>
  <w:abstractNum w:abstractNumId="1994637">
    <w:lvl>
      <w:start w:val="2"/>
      <w:numFmt w:val="lowerLetter"/>
      <w:suff w:val="tab"/>
      <w:lvlText w:val="%1."/>
      <w:rPr>
        <w:color w:val="3370ff"/>
      </w:rPr>
    </w:lvl>
  </w:abstractNum>
  <w:abstractNum w:abstractNumId="1994638">
    <w:lvl>
      <w:start w:val="3"/>
      <w:numFmt w:val="lowerLetter"/>
      <w:suff w:val="tab"/>
      <w:lvlText w:val="%1."/>
      <w:rPr>
        <w:color w:val="3370ff"/>
      </w:rPr>
    </w:lvl>
  </w:abstractNum>
  <w:abstractNum w:abstractNumId="1994639">
    <w:lvl>
      <w:numFmt w:val="bullet"/>
      <w:suff w:val="tab"/>
      <w:lvlText w:val="▪"/>
      <w:rPr>
        <w:color w:val="3370ff"/>
        <w:sz w:val="11"/>
      </w:rPr>
    </w:lvl>
  </w:abstractNum>
  <w:abstractNum w:abstractNumId="1994640">
    <w:lvl>
      <w:numFmt w:val="bullet"/>
      <w:suff w:val="tab"/>
      <w:lvlText w:val="▪"/>
      <w:rPr>
        <w:color w:val="3370ff"/>
        <w:sz w:val="11"/>
      </w:rPr>
    </w:lvl>
  </w:abstractNum>
  <w:abstractNum w:abstractNumId="1994641">
    <w:lvl>
      <w:numFmt w:val="bullet"/>
      <w:suff w:val="tab"/>
      <w:lvlText w:val="▪"/>
      <w:rPr>
        <w:color w:val="3370ff"/>
        <w:sz w:val="11"/>
      </w:rPr>
    </w:lvl>
  </w:abstractNum>
  <w:abstractNum w:abstractNumId="1994642">
    <w:lvl>
      <w:numFmt w:val="bullet"/>
      <w:suff w:val="tab"/>
      <w:lvlText w:val="▪"/>
      <w:rPr>
        <w:color w:val="3370ff"/>
        <w:sz w:val="11"/>
      </w:rPr>
    </w:lvl>
  </w:abstractNum>
  <w:abstractNum w:abstractNumId="1994643">
    <w:lvl>
      <w:numFmt w:val="bullet"/>
      <w:suff w:val="tab"/>
      <w:lvlText w:val="▪"/>
      <w:rPr>
        <w:color w:val="3370ff"/>
        <w:sz w:val="11"/>
      </w:rPr>
    </w:lvl>
  </w:abstractNum>
  <w:abstractNum w:abstractNumId="1994644">
    <w:lvl>
      <w:numFmt w:val="bullet"/>
      <w:suff w:val="tab"/>
      <w:lvlText w:val="▪"/>
      <w:rPr>
        <w:color w:val="3370ff"/>
        <w:sz w:val="11"/>
      </w:rPr>
    </w:lvl>
  </w:abstractNum>
  <w:abstractNum w:abstractNumId="1994645">
    <w:lvl>
      <w:numFmt w:val="bullet"/>
      <w:suff w:val="tab"/>
      <w:lvlText w:val="•"/>
      <w:rPr>
        <w:color w:val="3370ff"/>
      </w:rPr>
    </w:lvl>
  </w:abstractNum>
  <w:abstractNum w:abstractNumId="1994646">
    <w:lvl>
      <w:numFmt w:val="bullet"/>
      <w:suff w:val="tab"/>
      <w:lvlText w:val="￮"/>
      <w:rPr>
        <w:color w:val="3370ff"/>
      </w:rPr>
    </w:lvl>
  </w:abstractNum>
  <w:abstractNum w:abstractNumId="1994647">
    <w:lvl>
      <w:numFmt w:val="bullet"/>
      <w:suff w:val="tab"/>
      <w:lvlText w:val="•"/>
      <w:rPr>
        <w:color w:val="3370ff"/>
      </w:rPr>
    </w:lvl>
  </w:abstractNum>
  <w:abstractNum w:abstractNumId="1994648">
    <w:lvl>
      <w:numFmt w:val="bullet"/>
      <w:suff w:val="tab"/>
      <w:lvlText w:val="•"/>
      <w:rPr>
        <w:color w:val="3370ff"/>
      </w:rPr>
    </w:lvl>
  </w:abstractNum>
  <w:abstractNum w:abstractNumId="1994649">
    <w:lvl>
      <w:start w:val="1"/>
      <w:numFmt w:val="lowerLetter"/>
      <w:suff w:val="tab"/>
      <w:lvlText w:val="%1."/>
      <w:rPr>
        <w:color w:val="3370ff"/>
      </w:rPr>
    </w:lvl>
  </w:abstractNum>
  <w:abstractNum w:abstractNumId="1994650">
    <w:lvl>
      <w:start w:val="2"/>
      <w:numFmt w:val="lowerLetter"/>
      <w:suff w:val="tab"/>
      <w:lvlText w:val="%1."/>
      <w:rPr>
        <w:color w:val="3370ff"/>
      </w:rPr>
    </w:lvl>
  </w:abstractNum>
  <w:abstractNum w:abstractNumId="1994651">
    <w:lvl>
      <w:start w:val="3"/>
      <w:numFmt w:val="lowerLetter"/>
      <w:suff w:val="tab"/>
      <w:lvlText w:val="%1."/>
      <w:rPr>
        <w:color w:val="3370ff"/>
      </w:rPr>
    </w:lvl>
  </w:abstractNum>
  <w:abstractNum w:abstractNumId="1994652">
    <w:lvl>
      <w:numFmt w:val="bullet"/>
      <w:suff w:val="tab"/>
      <w:lvlText w:val="▪"/>
      <w:rPr>
        <w:color w:val="3370ff"/>
        <w:sz w:val="11"/>
      </w:rPr>
    </w:lvl>
  </w:abstractNum>
  <w:abstractNum w:abstractNumId="1994653">
    <w:lvl>
      <w:numFmt w:val="bullet"/>
      <w:suff w:val="tab"/>
      <w:lvlText w:val="▪"/>
      <w:rPr>
        <w:color w:val="3370ff"/>
        <w:sz w:val="11"/>
      </w:rPr>
    </w:lvl>
  </w:abstractNum>
  <w:abstractNum w:abstractNumId="1994654">
    <w:lvl>
      <w:numFmt w:val="bullet"/>
      <w:suff w:val="tab"/>
      <w:lvlText w:val="▪"/>
      <w:rPr>
        <w:color w:val="3370ff"/>
        <w:sz w:val="11"/>
      </w:rPr>
    </w:lvl>
  </w:abstractNum>
  <w:abstractNum w:abstractNumId="1994655">
    <w:lvl>
      <w:numFmt w:val="bullet"/>
      <w:suff w:val="tab"/>
      <w:lvlText w:val="•"/>
      <w:rPr>
        <w:color w:val="3370ff"/>
      </w:rPr>
    </w:lvl>
  </w:abstractNum>
  <w:abstractNum w:abstractNumId="1994656">
    <w:lvl>
      <w:numFmt w:val="bullet"/>
      <w:suff w:val="tab"/>
      <w:lvlText w:val="￮"/>
      <w:rPr>
        <w:color w:val="3370ff"/>
      </w:rPr>
    </w:lvl>
  </w:abstractNum>
  <w:abstractNum w:abstractNumId="1994657">
    <w:lvl>
      <w:numFmt w:val="bullet"/>
      <w:suff w:val="tab"/>
      <w:lvlText w:val="￮"/>
      <w:rPr>
        <w:color w:val="3370ff"/>
      </w:rPr>
    </w:lvl>
  </w:abstractNum>
  <w:abstractNum w:abstractNumId="1994658">
    <w:lvl>
      <w:numFmt w:val="bullet"/>
      <w:suff w:val="tab"/>
      <w:lvlText w:val="•"/>
      <w:rPr>
        <w:color w:val="3370ff"/>
      </w:rPr>
    </w:lvl>
  </w:abstractNum>
  <w:abstractNum w:abstractNumId="1994659">
    <w:lvl>
      <w:numFmt w:val="bullet"/>
      <w:suff w:val="tab"/>
      <w:lvlText w:val="•"/>
      <w:rPr>
        <w:color w:val="3370ff"/>
      </w:rPr>
    </w:lvl>
  </w:abstractNum>
  <w:abstractNum w:abstractNumId="1994660">
    <w:lvl>
      <w:numFmt w:val="bullet"/>
      <w:suff w:val="tab"/>
      <w:lvlText w:val="￮"/>
      <w:rPr>
        <w:color w:val="3370ff"/>
      </w:rPr>
    </w:lvl>
  </w:abstractNum>
  <w:abstractNum w:abstractNumId="1994661">
    <w:lvl>
      <w:numFmt w:val="bullet"/>
      <w:suff w:val="tab"/>
      <w:lvlText w:val="￮"/>
      <w:rPr>
        <w:color w:val="3370ff"/>
      </w:rPr>
    </w:lvl>
  </w:abstractNum>
  <w:abstractNum w:abstractNumId="1994662">
    <w:lvl>
      <w:numFmt w:val="bullet"/>
      <w:suff w:val="tab"/>
      <w:lvlText w:val="▪"/>
      <w:rPr>
        <w:color w:val="3370ff"/>
        <w:sz w:val="11"/>
      </w:rPr>
    </w:lvl>
  </w:abstractNum>
  <w:abstractNum w:abstractNumId="1994663">
    <w:lvl>
      <w:numFmt w:val="bullet"/>
      <w:suff w:val="tab"/>
      <w:lvlText w:val="▪"/>
      <w:rPr>
        <w:color w:val="3370ff"/>
        <w:sz w:val="11"/>
      </w:rPr>
    </w:lvl>
  </w:abstractNum>
  <w:abstractNum w:abstractNumId="1994664">
    <w:lvl>
      <w:numFmt w:val="bullet"/>
      <w:suff w:val="tab"/>
      <w:lvlText w:val="•"/>
      <w:rPr>
        <w:color w:val="3370ff"/>
      </w:rPr>
    </w:lvl>
  </w:abstractNum>
  <w:abstractNum w:abstractNumId="1994665">
    <w:lvl>
      <w:numFmt w:val="bullet"/>
      <w:suff w:val="tab"/>
      <w:lvlText w:val="•"/>
      <w:rPr>
        <w:color w:val="3370ff"/>
      </w:rPr>
    </w:lvl>
  </w:abstractNum>
  <w:abstractNum w:abstractNumId="1994666">
    <w:lvl>
      <w:start w:val="1"/>
      <w:numFmt w:val="lowerLetter"/>
      <w:suff w:val="tab"/>
      <w:lvlText w:val="%1."/>
      <w:rPr>
        <w:color w:val="3370ff"/>
      </w:rPr>
    </w:lvl>
  </w:abstractNum>
  <w:abstractNum w:abstractNumId="1994667">
    <w:lvl>
      <w:start w:val="2"/>
      <w:numFmt w:val="lowerLetter"/>
      <w:suff w:val="tab"/>
      <w:lvlText w:val="%1."/>
      <w:rPr>
        <w:color w:val="3370ff"/>
      </w:rPr>
    </w:lvl>
  </w:abstractNum>
  <w:abstractNum w:abstractNumId="1994668">
    <w:lvl>
      <w:numFmt w:val="bullet"/>
      <w:suff w:val="tab"/>
      <w:lvlText w:val="•"/>
      <w:rPr>
        <w:color w:val="3370ff"/>
      </w:rPr>
    </w:lvl>
  </w:abstractNum>
  <w:abstractNum w:abstractNumId="1994669">
    <w:lvl>
      <w:numFmt w:val="bullet"/>
      <w:suff w:val="tab"/>
      <w:lvlText w:val="￮"/>
      <w:rPr>
        <w:color w:val="3370ff"/>
      </w:rPr>
    </w:lvl>
  </w:abstractNum>
  <w:abstractNum w:abstractNumId="1994670">
    <w:lvl>
      <w:numFmt w:val="bullet"/>
      <w:suff w:val="tab"/>
      <w:lvlText w:val="•"/>
      <w:rPr>
        <w:color w:val="3370ff"/>
      </w:rPr>
    </w:lvl>
  </w:abstractNum>
  <w:abstractNum w:abstractNumId="1994671">
    <w:lvl>
      <w:numFmt w:val="bullet"/>
      <w:suff w:val="tab"/>
      <w:lvlText w:val="•"/>
      <w:rPr>
        <w:color w:val="3370ff"/>
      </w:rPr>
    </w:lvl>
  </w:abstractNum>
  <w:abstractNum w:abstractNumId="1994672">
    <w:lvl>
      <w:start w:val="1"/>
      <w:numFmt w:val="lowerLetter"/>
      <w:suff w:val="tab"/>
      <w:lvlText w:val="%1."/>
      <w:rPr>
        <w:color w:val="3370ff"/>
      </w:rPr>
    </w:lvl>
  </w:abstractNum>
  <w:abstractNum w:abstractNumId="1994673">
    <w:lvl>
      <w:start w:val="2"/>
      <w:numFmt w:val="lowerLetter"/>
      <w:suff w:val="tab"/>
      <w:lvlText w:val="%1."/>
      <w:rPr>
        <w:color w:val="3370ff"/>
      </w:rPr>
    </w:lvl>
  </w:abstractNum>
  <w:abstractNum w:abstractNumId="1994674">
    <w:lvl>
      <w:numFmt w:val="bullet"/>
      <w:suff w:val="tab"/>
      <w:lvlText w:val="•"/>
      <w:rPr>
        <w:color w:val="3370ff"/>
      </w:rPr>
    </w:lvl>
  </w:abstractNum>
  <w:abstractNum w:abstractNumId="1994675">
    <w:lvl>
      <w:numFmt w:val="bullet"/>
      <w:suff w:val="tab"/>
      <w:lvlText w:val="￮"/>
      <w:rPr>
        <w:color w:val="3370ff"/>
      </w:rPr>
    </w:lvl>
  </w:abstractNum>
  <w:abstractNum w:abstractNumId="1994676">
    <w:lvl>
      <w:numFmt w:val="bullet"/>
      <w:suff w:val="tab"/>
      <w:lvlText w:val="￮"/>
      <w:rPr>
        <w:color w:val="3370ff"/>
      </w:rPr>
    </w:lvl>
  </w:abstractNum>
  <w:abstractNum w:abstractNumId="1994677">
    <w:lvl>
      <w:start w:val="1"/>
      <w:numFmt w:val="decimal"/>
      <w:suff w:val="tab"/>
      <w:lvlText w:val="%1."/>
      <w:rPr>
        <w:color w:val="3370ff"/>
      </w:rPr>
    </w:lvl>
  </w:abstractNum>
  <w:abstractNum w:abstractNumId="1994678">
    <w:lvl>
      <w:start w:val="2"/>
      <w:numFmt w:val="decimal"/>
      <w:suff w:val="tab"/>
      <w:lvlText w:val="%1."/>
      <w:rPr>
        <w:color w:val="3370ff"/>
      </w:rPr>
    </w:lvl>
  </w:abstractNum>
  <w:num w:numId="1">
    <w:abstractNumId w:val="1994608"/>
  </w:num>
  <w:num w:numId="2">
    <w:abstractNumId w:val="1994609"/>
  </w:num>
  <w:num w:numId="3">
    <w:abstractNumId w:val="1994610"/>
  </w:num>
  <w:num w:numId="4">
    <w:abstractNumId w:val="1994611"/>
  </w:num>
  <w:num w:numId="5">
    <w:abstractNumId w:val="1994612"/>
  </w:num>
  <w:num w:numId="6">
    <w:abstractNumId w:val="1994613"/>
  </w:num>
  <w:num w:numId="7">
    <w:abstractNumId w:val="1994614"/>
  </w:num>
  <w:num w:numId="8">
    <w:abstractNumId w:val="1994615"/>
  </w:num>
  <w:num w:numId="9">
    <w:abstractNumId w:val="1994616"/>
  </w:num>
  <w:num w:numId="10">
    <w:abstractNumId w:val="1994617"/>
  </w:num>
  <w:num w:numId="11">
    <w:abstractNumId w:val="1994618"/>
  </w:num>
  <w:num w:numId="12">
    <w:abstractNumId w:val="1994619"/>
  </w:num>
  <w:num w:numId="13">
    <w:abstractNumId w:val="1994620"/>
  </w:num>
  <w:num w:numId="14">
    <w:abstractNumId w:val="1994621"/>
  </w:num>
  <w:num w:numId="15">
    <w:abstractNumId w:val="1994622"/>
  </w:num>
  <w:num w:numId="16">
    <w:abstractNumId w:val="1994623"/>
  </w:num>
  <w:num w:numId="17">
    <w:abstractNumId w:val="1994624"/>
  </w:num>
  <w:num w:numId="18">
    <w:abstractNumId w:val="1994625"/>
  </w:num>
  <w:num w:numId="19">
    <w:abstractNumId w:val="1994626"/>
  </w:num>
  <w:num w:numId="20">
    <w:abstractNumId w:val="1994627"/>
  </w:num>
  <w:num w:numId="21">
    <w:abstractNumId w:val="1994628"/>
  </w:num>
  <w:num w:numId="22">
    <w:abstractNumId w:val="1994629"/>
  </w:num>
  <w:num w:numId="23">
    <w:abstractNumId w:val="1994630"/>
  </w:num>
  <w:num w:numId="24">
    <w:abstractNumId w:val="1994631"/>
  </w:num>
  <w:num w:numId="25">
    <w:abstractNumId w:val="1994632"/>
  </w:num>
  <w:num w:numId="26">
    <w:abstractNumId w:val="1994633"/>
  </w:num>
  <w:num w:numId="27">
    <w:abstractNumId w:val="1994634"/>
  </w:num>
  <w:num w:numId="28">
    <w:abstractNumId w:val="1994635"/>
  </w:num>
  <w:num w:numId="29">
    <w:abstractNumId w:val="1994636"/>
  </w:num>
  <w:num w:numId="30">
    <w:abstractNumId w:val="1994637"/>
  </w:num>
  <w:num w:numId="31">
    <w:abstractNumId w:val="1994638"/>
  </w:num>
  <w:num w:numId="32">
    <w:abstractNumId w:val="1994639"/>
  </w:num>
  <w:num w:numId="33">
    <w:abstractNumId w:val="1994640"/>
  </w:num>
  <w:num w:numId="34">
    <w:abstractNumId w:val="1994641"/>
  </w:num>
  <w:num w:numId="35">
    <w:abstractNumId w:val="1994642"/>
  </w:num>
  <w:num w:numId="36">
    <w:abstractNumId w:val="1994643"/>
  </w:num>
  <w:num w:numId="37">
    <w:abstractNumId w:val="1994644"/>
  </w:num>
  <w:num w:numId="38">
    <w:abstractNumId w:val="1994645"/>
  </w:num>
  <w:num w:numId="39">
    <w:abstractNumId w:val="1994646"/>
  </w:num>
  <w:num w:numId="40">
    <w:abstractNumId w:val="1994647"/>
  </w:num>
  <w:num w:numId="41">
    <w:abstractNumId w:val="1994648"/>
  </w:num>
  <w:num w:numId="42">
    <w:abstractNumId w:val="1994649"/>
  </w:num>
  <w:num w:numId="43">
    <w:abstractNumId w:val="1994650"/>
  </w:num>
  <w:num w:numId="44">
    <w:abstractNumId w:val="1994651"/>
  </w:num>
  <w:num w:numId="45">
    <w:abstractNumId w:val="1994652"/>
  </w:num>
  <w:num w:numId="46">
    <w:abstractNumId w:val="1994653"/>
  </w:num>
  <w:num w:numId="47">
    <w:abstractNumId w:val="1994654"/>
  </w:num>
  <w:num w:numId="48">
    <w:abstractNumId w:val="1994655"/>
  </w:num>
  <w:num w:numId="49">
    <w:abstractNumId w:val="1994656"/>
  </w:num>
  <w:num w:numId="50">
    <w:abstractNumId w:val="1994657"/>
  </w:num>
  <w:num w:numId="51">
    <w:abstractNumId w:val="1994658"/>
  </w:num>
  <w:num w:numId="52">
    <w:abstractNumId w:val="1994659"/>
  </w:num>
  <w:num w:numId="53">
    <w:abstractNumId w:val="1994660"/>
  </w:num>
  <w:num w:numId="54">
    <w:abstractNumId w:val="1994661"/>
  </w:num>
  <w:num w:numId="55">
    <w:abstractNumId w:val="1994662"/>
  </w:num>
  <w:num w:numId="56">
    <w:abstractNumId w:val="1994663"/>
  </w:num>
  <w:num w:numId="57">
    <w:abstractNumId w:val="1994664"/>
  </w:num>
  <w:num w:numId="58">
    <w:abstractNumId w:val="1994665"/>
  </w:num>
  <w:num w:numId="59">
    <w:abstractNumId w:val="1994666"/>
  </w:num>
  <w:num w:numId="60">
    <w:abstractNumId w:val="1994667"/>
  </w:num>
  <w:num w:numId="61">
    <w:abstractNumId w:val="1994668"/>
  </w:num>
  <w:num w:numId="62">
    <w:abstractNumId w:val="1994669"/>
  </w:num>
  <w:num w:numId="63">
    <w:abstractNumId w:val="1994670"/>
  </w:num>
  <w:num w:numId="64">
    <w:abstractNumId w:val="1994671"/>
  </w:num>
  <w:num w:numId="65">
    <w:abstractNumId w:val="1994672"/>
  </w:num>
  <w:num w:numId="66">
    <w:abstractNumId w:val="1994673"/>
  </w:num>
  <w:num w:numId="67">
    <w:abstractNumId w:val="1994674"/>
  </w:num>
  <w:num w:numId="68">
    <w:abstractNumId w:val="1994675"/>
  </w:num>
  <w:num w:numId="69">
    <w:abstractNumId w:val="1994676"/>
  </w:num>
  <w:num w:numId="70">
    <w:abstractNumId w:val="1994677"/>
  </w:num>
  <w:num w:numId="71">
    <w:abstractNumId w:val="199467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2026-05-30T02:17:33Z</dcterms:created>
  <dc:creator>Apache POI</dc:creator>
</cp:coreProperties>
</file>