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我国数据出境三条路径的流程描述</w:t>
      </w:r>
    </w:p>
    <w:p>
      <w:pPr>
        <w:pStyle w:val="4"/>
        <w:spacing w:before="260" w:after="120" w:line="288" w:lineRule="auto"/>
        <w:ind w:left="0"/>
        <w:jc w:val="left"/>
        <w:outlineLvl w:val="3"/>
      </w:pPr>
      <w:bookmarkStart w:name="heading_0" w:id="0"/>
      <w:r>
        <w:rPr>
          <w:rFonts w:eastAsia="等线" w:ascii="Arial" w:cs="Arial" w:hAnsi="Arial"/>
          <w:b w:val="true"/>
          <w:sz w:val="28"/>
        </w:rPr>
        <w:t>路径一：数据出境安全评估路径流程描述</w:t>
      </w:r>
      <w:bookmarkEnd w:id="0"/>
    </w:p>
    <w:p>
      <w:pPr>
        <w:spacing w:before="120" w:after="120" w:line="288" w:lineRule="auto"/>
        <w:ind w:left="0"/>
        <w:jc w:val="left"/>
      </w:pPr>
      <w:r>
        <w:rPr>
          <w:rFonts w:eastAsia="等线" w:ascii="Arial" w:cs="Arial" w:hAnsi="Arial"/>
          <w:b w:val="true"/>
          <w:sz w:val="22"/>
        </w:rPr>
        <w:t>一、 流程概述</w:t>
      </w:r>
    </w:p>
    <w:p>
      <w:pPr>
        <w:spacing w:before="120" w:after="120" w:line="288" w:lineRule="auto"/>
        <w:ind w:left="0"/>
        <w:jc w:val="left"/>
      </w:pPr>
      <w:r>
        <w:rPr>
          <w:rFonts w:eastAsia="等线" w:ascii="Arial" w:cs="Arial" w:hAnsi="Arial"/>
          <w:sz w:val="22"/>
        </w:rPr>
        <w:t>我国数据出境安全评估路径的完整流程，指数据处理者（申报主体）通过国家网信办指定的“数据出境申报系统”在线提交全套材料，经所在地省级网信办和国家网信办两级审查，最终获取评估结果通知书的行政程序。整体流程包含申报准备、系统填报与提交、监管部门完备性查验与受理、安全评估、结果出具及后续管理（如有效期延长）等环节。</w:t>
      </w:r>
    </w:p>
    <w:p>
      <w:pPr>
        <w:spacing w:before="120" w:after="120" w:line="288" w:lineRule="auto"/>
        <w:ind w:left="0"/>
        <w:jc w:val="left"/>
      </w:pPr>
      <w:r>
        <w:rPr>
          <w:rFonts w:eastAsia="等线" w:ascii="Arial" w:cs="Arial" w:hAnsi="Arial"/>
          <w:b w:val="true"/>
          <w:sz w:val="22"/>
        </w:rPr>
        <w:t>二、 具体流程与依据</w:t>
      </w:r>
    </w:p>
    <w:p>
      <w:pPr>
        <w:spacing w:before="120" w:after="120" w:line="288" w:lineRule="auto"/>
        <w:ind w:left="0"/>
        <w:jc w:val="left"/>
      </w:pPr>
      <w:r>
        <w:rPr>
          <w:rFonts w:eastAsia="等线" w:ascii="Arial" w:cs="Arial" w:hAnsi="Arial"/>
          <w:b w:val="true"/>
          <w:sz w:val="22"/>
        </w:rPr>
        <w:t>第一阶段：申报前准备与自查</w:t>
      </w:r>
    </w:p>
    <w:p>
      <w:pPr>
        <w:numPr>
          <w:numId w:val="1"/>
        </w:numPr>
        <w:spacing w:before="120" w:after="120" w:line="288" w:lineRule="auto"/>
        <w:ind w:left="0"/>
        <w:jc w:val="left"/>
      </w:pPr>
      <w:r>
        <w:rPr>
          <w:rFonts w:eastAsia="等线" w:ascii="Arial" w:cs="Arial" w:hAnsi="Arial"/>
          <w:b w:val="true"/>
          <w:sz w:val="22"/>
        </w:rPr>
        <w:t>确认申报义务</w:t>
      </w:r>
      <w:r>
        <w:rPr>
          <w:rFonts w:eastAsia="等线" w:ascii="Arial" w:cs="Arial" w:hAnsi="Arial"/>
          <w:sz w:val="22"/>
        </w:rPr>
        <w:t>：数据处理者需首先确认其数据出境活动是否触发安全评估申报的法定条件。</w:t>
      </w:r>
    </w:p>
    <w:p>
      <w:pPr>
        <w:numPr>
          <w:numId w:val="2"/>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一（一）条明确了必须申报的两种情形：（1）关键信息基础设施运营者（CIIO）向境外提供个人信息或重要数据；（2）非CIIO向境外提供重要数据，或自当年1月1日起累计向境外提供100万人以上个人信息（不含敏感个人信息）或1万人以上敏感个人信息。</w:t>
      </w:r>
    </w:p>
    <w:p>
      <w:pPr>
        <w:numPr>
          <w:numId w:val="3"/>
        </w:numPr>
        <w:spacing w:before="120" w:after="120" w:line="288" w:lineRule="auto"/>
        <w:ind w:left="0"/>
        <w:jc w:val="left"/>
      </w:pPr>
      <w:r>
        <w:rPr>
          <w:rFonts w:eastAsia="等线" w:ascii="Arial" w:cs="Arial" w:hAnsi="Arial"/>
          <w:b w:val="true"/>
          <w:sz w:val="22"/>
        </w:rPr>
        <w:t>准备申报材料</w:t>
      </w:r>
      <w:r>
        <w:rPr>
          <w:rFonts w:eastAsia="等线" w:ascii="Arial" w:cs="Arial" w:hAnsi="Arial"/>
          <w:sz w:val="22"/>
        </w:rPr>
        <w:t>：根据指南要求，准备8项核心材料。</w:t>
      </w:r>
    </w:p>
    <w:p>
      <w:pPr>
        <w:numPr>
          <w:numId w:val="4"/>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：《数据出境安全评估申报指南（第三版）》第二（一）条及附件1《数据出境安全评估申报材料要求》。</w:t>
      </w:r>
    </w:p>
    <w:p>
      <w:pPr>
        <w:numPr>
          <w:numId w:val="5"/>
        </w:numPr>
        <w:spacing w:before="120" w:after="120" w:line="288" w:lineRule="auto"/>
        <w:ind w:left="453"/>
        <w:jc w:val="left"/>
      </w:pPr>
      <w:r>
        <w:rPr>
          <w:rFonts w:eastAsia="等线" w:ascii="Arial" w:cs="Arial" w:hAnsi="Arial"/>
          <w:b w:val="true"/>
          <w:sz w:val="22"/>
        </w:rPr>
        <w:t>材料清单与具体要求</w:t>
      </w:r>
      <w:r>
        <w:rPr>
          <w:rFonts w:eastAsia="等线" w:ascii="Arial" w:cs="Arial" w:hAnsi="Arial"/>
          <w:sz w:val="22"/>
        </w:rPr>
        <w:t>：</w:t>
      </w:r>
    </w:p>
    <w:p>
      <w:pPr>
        <w:numPr>
          <w:numId w:val="6"/>
        </w:numPr>
        <w:spacing w:before="120" w:after="120" w:line="288" w:lineRule="auto"/>
        <w:ind w:left="907"/>
        <w:jc w:val="left"/>
      </w:pPr>
      <w:r>
        <w:rPr>
          <w:rFonts w:eastAsia="等线" w:ascii="Arial" w:cs="Arial" w:hAnsi="Arial"/>
          <w:b w:val="true"/>
          <w:sz w:val="22"/>
        </w:rPr>
        <w:t>统一社会信用代码证件影印件</w:t>
      </w:r>
      <w:r>
        <w:rPr>
          <w:rFonts w:eastAsia="等线" w:ascii="Arial" w:cs="Arial" w:hAnsi="Arial"/>
          <w:sz w:val="22"/>
        </w:rPr>
        <w:t>：需加盖公章。</w:t>
      </w:r>
    </w:p>
    <w:p>
      <w:pPr>
        <w:numPr>
          <w:numId w:val="7"/>
        </w:numPr>
        <w:spacing w:before="120" w:after="120" w:line="288" w:lineRule="auto"/>
        <w:ind w:left="907"/>
        <w:jc w:val="left"/>
      </w:pPr>
      <w:r>
        <w:rPr>
          <w:rFonts w:eastAsia="等线" w:ascii="Arial" w:cs="Arial" w:hAnsi="Arial"/>
          <w:b w:val="true"/>
          <w:sz w:val="22"/>
        </w:rPr>
        <w:t>法定代表人身份证件影印件</w:t>
      </w:r>
      <w:r>
        <w:rPr>
          <w:rFonts w:eastAsia="等线" w:ascii="Arial" w:cs="Arial" w:hAnsi="Arial"/>
          <w:sz w:val="22"/>
        </w:rPr>
        <w:t>：需加盖公章。</w:t>
      </w:r>
    </w:p>
    <w:p>
      <w:pPr>
        <w:numPr>
          <w:numId w:val="8"/>
        </w:numPr>
        <w:spacing w:before="120" w:after="120" w:line="288" w:lineRule="auto"/>
        <w:ind w:left="907"/>
        <w:jc w:val="left"/>
      </w:pPr>
      <w:r>
        <w:rPr>
          <w:rFonts w:eastAsia="等线" w:ascii="Arial" w:cs="Arial" w:hAnsi="Arial"/>
          <w:b w:val="true"/>
          <w:sz w:val="22"/>
        </w:rPr>
        <w:t>经办人身份证件影印件</w:t>
      </w:r>
      <w:r>
        <w:rPr>
          <w:rFonts w:eastAsia="等线" w:ascii="Arial" w:cs="Arial" w:hAnsi="Arial"/>
          <w:sz w:val="22"/>
        </w:rPr>
        <w:t>：需加盖公章。</w:t>
      </w:r>
    </w:p>
    <w:p>
      <w:pPr>
        <w:numPr>
          <w:numId w:val="9"/>
        </w:numPr>
        <w:spacing w:before="120" w:after="120" w:line="288" w:lineRule="auto"/>
        <w:ind w:left="907"/>
        <w:jc w:val="left"/>
      </w:pPr>
      <w:r>
        <w:rPr>
          <w:rFonts w:eastAsia="等线" w:ascii="Arial" w:cs="Arial" w:hAnsi="Arial"/>
          <w:b w:val="true"/>
          <w:sz w:val="22"/>
        </w:rPr>
        <w:t>经办人授权委托书</w:t>
      </w:r>
      <w:r>
        <w:rPr>
          <w:rFonts w:eastAsia="等线" w:ascii="Arial" w:cs="Arial" w:hAnsi="Arial"/>
          <w:sz w:val="22"/>
        </w:rPr>
        <w:t>：需使用指南附件2的模板，明确授权事项、期限，由法定代表人签字并加盖单位公章。</w:t>
      </w:r>
    </w:p>
    <w:p>
      <w:pPr>
        <w:numPr>
          <w:numId w:val="10"/>
        </w:numPr>
        <w:spacing w:before="120" w:after="120" w:line="288" w:lineRule="auto"/>
        <w:ind w:left="907"/>
        <w:jc w:val="left"/>
      </w:pPr>
      <w:r>
        <w:rPr>
          <w:rFonts w:eastAsia="等线" w:ascii="Arial" w:cs="Arial" w:hAnsi="Arial"/>
          <w:b w:val="true"/>
          <w:sz w:val="22"/>
        </w:rPr>
        <w:t>数据出境安全评估申报表</w:t>
      </w:r>
      <w:r>
        <w:rPr>
          <w:rFonts w:eastAsia="等线" w:ascii="Arial" w:cs="Arial" w:hAnsi="Arial"/>
          <w:sz w:val="22"/>
        </w:rPr>
        <w:t>：需使用指南附件3的模板，严格按模板规定的格式、字体、字数等要求，使用中文填写。内容需包含数据处理者情况、出境场景、拟出境数据详情（类型、数量、涉及行业）、境外接收方信息等。</w:t>
      </w:r>
    </w:p>
    <w:p>
      <w:pPr>
        <w:numPr>
          <w:numId w:val="11"/>
        </w:numPr>
        <w:spacing w:before="120" w:after="120" w:line="288" w:lineRule="auto"/>
        <w:ind w:left="907"/>
        <w:jc w:val="left"/>
      </w:pPr>
      <w:r>
        <w:rPr>
          <w:rFonts w:eastAsia="等线" w:ascii="Arial" w:cs="Arial" w:hAnsi="Arial"/>
          <w:b w:val="true"/>
          <w:sz w:val="22"/>
        </w:rPr>
        <w:t>与境外接收方拟订立的合同或其他法律文件</w:t>
      </w:r>
      <w:r>
        <w:rPr>
          <w:rFonts w:eastAsia="等线" w:ascii="Arial" w:cs="Arial" w:hAnsi="Arial"/>
          <w:sz w:val="22"/>
        </w:rPr>
        <w:t>：需对数据出境相关约定条款作高亮、线框等显著标识。文件应以中文版本为准，若非中文版本，须同步提交准确的中文译本。</w:t>
      </w:r>
    </w:p>
    <w:p>
      <w:pPr>
        <w:numPr>
          <w:numId w:val="12"/>
        </w:numPr>
        <w:spacing w:before="120" w:after="120" w:line="288" w:lineRule="auto"/>
        <w:ind w:left="907"/>
        <w:jc w:val="left"/>
      </w:pPr>
      <w:r>
        <w:rPr>
          <w:rFonts w:eastAsia="等线" w:ascii="Arial" w:cs="Arial" w:hAnsi="Arial"/>
          <w:b w:val="true"/>
          <w:sz w:val="22"/>
        </w:rPr>
        <w:t>数据出境风险自评估报告</w:t>
      </w:r>
      <w:r>
        <w:rPr>
          <w:rFonts w:eastAsia="等线" w:ascii="Arial" w:cs="Arial" w:hAnsi="Arial"/>
          <w:sz w:val="22"/>
        </w:rPr>
        <w:t>：需使用指南附件4的模板，在申报前3个月内完成，并使用中文撰写。报告需详细说明自评估工作情况、出境活动整体情况、数据处理者安全保障能力、境外接收方情况、法律文件约定内容，并给出明确的评估结论。</w:t>
      </w:r>
    </w:p>
    <w:p>
      <w:pPr>
        <w:numPr>
          <w:numId w:val="13"/>
        </w:numPr>
        <w:spacing w:before="120" w:after="120" w:line="288" w:lineRule="auto"/>
        <w:ind w:left="907"/>
        <w:jc w:val="left"/>
      </w:pPr>
      <w:r>
        <w:rPr>
          <w:rFonts w:eastAsia="等线" w:ascii="Arial" w:cs="Arial" w:hAnsi="Arial"/>
          <w:b w:val="true"/>
          <w:sz w:val="22"/>
        </w:rPr>
        <w:t>其他相关证明材料</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第二阶段：在线系统申报</w:t>
      </w:r>
    </w:p>
    <w:p>
      <w:pPr>
        <w:numPr>
          <w:numId w:val="14"/>
        </w:numPr>
        <w:spacing w:before="120" w:after="120" w:line="288" w:lineRule="auto"/>
        <w:ind w:left="0"/>
        <w:jc w:val="left"/>
      </w:pPr>
      <w:r>
        <w:rPr>
          <w:rFonts w:eastAsia="等线" w:ascii="Arial" w:cs="Arial" w:hAnsi="Arial"/>
          <w:b w:val="true"/>
          <w:sz w:val="22"/>
        </w:rPr>
        <w:t>系统访问与注册</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sz w:val="22"/>
        </w:rPr>
        <w:t>访问“数据出境申报系统”（网址：</w:t>
      </w:r>
      <w:hyperlink r:id="rId5">
        <w:r>
          <w:rPr>
            <w:rFonts w:eastAsia="等线" w:ascii="Arial" w:cs="Arial" w:hAnsi="Arial"/>
            <w:color w:val="3370ff"/>
            <w:sz w:val="22"/>
          </w:rPr>
          <w:t>https://sjcj.cac.gov.cn</w:t>
        </w:r>
      </w:hyperlink>
      <w:r>
        <w:rPr>
          <w:rFonts w:eastAsia="等线" w:ascii="Arial" w:cs="Arial" w:hAnsi="Arial"/>
          <w:sz w:val="22"/>
        </w:rPr>
        <w:t>）。</w:t>
      </w:r>
    </w:p>
    <w:p>
      <w:pPr>
        <w:numPr>
          <w:numId w:val="16"/>
        </w:numPr>
        <w:spacing w:before="120" w:after="120" w:line="288" w:lineRule="auto"/>
        <w:ind w:left="453"/>
        <w:jc w:val="left"/>
      </w:pPr>
      <w:r>
        <w:rPr>
          <w:rFonts w:eastAsia="等线" w:ascii="Arial" w:cs="Arial" w:hAnsi="Arial"/>
          <w:sz w:val="22"/>
        </w:rPr>
        <w:t>初次使用者需点击“注册账户”，设置用户名、密码，绑定可接收短信的手机号。</w:t>
      </w:r>
    </w:p>
    <w:p>
      <w:pPr>
        <w:numPr>
          <w:numId w:val="17"/>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w:t>
      </w:r>
    </w:p>
    <w:p>
      <w:pPr>
        <w:numPr>
          <w:numId w:val="18"/>
        </w:numPr>
        <w:spacing w:before="120" w:after="120" w:line="288" w:lineRule="auto"/>
        <w:ind w:left="0"/>
        <w:jc w:val="left"/>
      </w:pPr>
      <w:r>
        <w:rPr>
          <w:rFonts w:eastAsia="等线" w:ascii="Arial" w:cs="Arial" w:hAnsi="Arial"/>
          <w:b w:val="true"/>
          <w:sz w:val="22"/>
        </w:rPr>
        <w:t>登录与基础信息录入</w:t>
      </w:r>
      <w:r>
        <w:rPr>
          <w:rFonts w:eastAsia="等线" w:ascii="Arial" w:cs="Arial" w:hAnsi="Arial"/>
          <w:sz w:val="22"/>
        </w:rPr>
        <w:t>：</w:t>
      </w:r>
    </w:p>
    <w:p>
      <w:pPr>
        <w:numPr>
          <w:numId w:val="19"/>
        </w:numPr>
        <w:spacing w:before="120" w:after="120" w:line="288" w:lineRule="auto"/>
        <w:ind w:left="453"/>
        <w:jc w:val="left"/>
      </w:pPr>
      <w:r>
        <w:rPr>
          <w:rFonts w:eastAsia="等线" w:ascii="Arial" w:cs="Arial" w:hAnsi="Arial"/>
          <w:sz w:val="22"/>
        </w:rPr>
        <w:t>使用注册的账号登录系统。</w:t>
      </w:r>
    </w:p>
    <w:p>
      <w:pPr>
        <w:numPr>
          <w:numId w:val="20"/>
        </w:numPr>
        <w:spacing w:before="120" w:after="120" w:line="288" w:lineRule="auto"/>
        <w:ind w:left="453"/>
        <w:jc w:val="left"/>
      </w:pPr>
      <w:r>
        <w:rPr>
          <w:rFonts w:eastAsia="等线" w:ascii="Arial" w:cs="Arial" w:hAnsi="Arial"/>
          <w:sz w:val="22"/>
        </w:rPr>
        <w:t>在“个人中心”-&gt;“信息修改”中，如实填写数据处理者单位名称、统一社会信用代码、所在省份、法定代表人信息、系统注册人（经办人）信息并保存。系统注册人电话将用于接收所有流程短信通知。</w:t>
      </w:r>
    </w:p>
    <w:p>
      <w:pPr>
        <w:numPr>
          <w:numId w:val="21"/>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：《数据出境申报系统使用手册》第三部分“信息录入”。</w:t>
      </w:r>
    </w:p>
    <w:p>
      <w:pPr>
        <w:numPr>
          <w:numId w:val="22"/>
        </w:numPr>
        <w:spacing w:before="120" w:after="120" w:line="288" w:lineRule="auto"/>
        <w:ind w:left="0"/>
        <w:jc w:val="left"/>
      </w:pPr>
      <w:r>
        <w:rPr>
          <w:rFonts w:eastAsia="等线" w:ascii="Arial" w:cs="Arial" w:hAnsi="Arial"/>
          <w:b w:val="true"/>
          <w:sz w:val="22"/>
        </w:rPr>
        <w:t>新建与提交评估项目</w:t>
      </w:r>
      <w:r>
        <w:rPr>
          <w:rFonts w:eastAsia="等线" w:ascii="Arial" w:cs="Arial" w:hAnsi="Arial"/>
          <w:sz w:val="22"/>
        </w:rPr>
        <w:t>：</w:t>
      </w:r>
    </w:p>
    <w:p>
      <w:pPr>
        <w:numPr>
          <w:numId w:val="23"/>
        </w:numPr>
        <w:spacing w:before="120" w:after="120" w:line="288" w:lineRule="auto"/>
        <w:ind w:left="453"/>
        <w:jc w:val="left"/>
      </w:pPr>
      <w:r>
        <w:rPr>
          <w:rFonts w:eastAsia="等线" w:ascii="Arial" w:cs="Arial" w:hAnsi="Arial"/>
          <w:sz w:val="22"/>
        </w:rPr>
        <w:t>在系统首页选择“数据出境安全评估”业务。</w:t>
      </w:r>
    </w:p>
    <w:p>
      <w:pPr>
        <w:numPr>
          <w:numId w:val="24"/>
        </w:numPr>
        <w:spacing w:before="120" w:after="120" w:line="288" w:lineRule="auto"/>
        <w:ind w:left="453"/>
        <w:jc w:val="left"/>
      </w:pPr>
      <w:r>
        <w:rPr>
          <w:rFonts w:eastAsia="等线" w:ascii="Arial" w:cs="Arial" w:hAnsi="Arial"/>
          <w:sz w:val="22"/>
        </w:rPr>
        <w:t>点击“新增申报”，进入向导页面。系统支持“逐项上传”和“批量上传”两种模式。</w:t>
      </w:r>
    </w:p>
    <w:p>
      <w:pPr>
        <w:numPr>
          <w:numId w:val="25"/>
        </w:numPr>
        <w:spacing w:before="120" w:after="120" w:line="288" w:lineRule="auto"/>
        <w:ind w:left="453"/>
        <w:jc w:val="left"/>
      </w:pPr>
      <w:r>
        <w:rPr>
          <w:rFonts w:eastAsia="等线" w:ascii="Arial" w:cs="Arial" w:hAnsi="Arial"/>
          <w:b w:val="true"/>
          <w:sz w:val="22"/>
        </w:rPr>
        <w:t>逐项上传</w:t>
      </w:r>
      <w:r>
        <w:rPr>
          <w:rFonts w:eastAsia="等线" w:ascii="Arial" w:cs="Arial" w:hAnsi="Arial"/>
          <w:sz w:val="22"/>
        </w:rPr>
        <w:t>：按照系统指引，分步骤填写或上传《数据出境安全评估申报表》要求的信息及全部8项申报材料。红色*号为必填项。填写过程可“暂存”。</w:t>
      </w:r>
    </w:p>
    <w:p>
      <w:pPr>
        <w:numPr>
          <w:numId w:val="26"/>
        </w:numPr>
        <w:spacing w:before="120" w:after="120" w:line="288" w:lineRule="auto"/>
        <w:ind w:left="453"/>
        <w:jc w:val="left"/>
      </w:pPr>
      <w:r>
        <w:rPr>
          <w:rFonts w:eastAsia="等线" w:ascii="Arial" w:cs="Arial" w:hAnsi="Arial"/>
          <w:b w:val="true"/>
          <w:sz w:val="22"/>
        </w:rPr>
        <w:t>批量上传</w:t>
      </w:r>
      <w:r>
        <w:rPr>
          <w:rFonts w:eastAsia="等线" w:ascii="Arial" w:cs="Arial" w:hAnsi="Arial"/>
          <w:sz w:val="22"/>
        </w:rPr>
        <w:t>：首先从系统“批量模板下载”链接获取全套材料模板的压缩包。线下按模板组织好所有材料后，压缩为一个ZIP包，通过“批量上传”功能一次性提交。</w:t>
      </w:r>
    </w:p>
    <w:p>
      <w:pPr>
        <w:numPr>
          <w:numId w:val="27"/>
        </w:numPr>
        <w:spacing w:before="120" w:after="120" w:line="288" w:lineRule="auto"/>
        <w:ind w:left="453"/>
        <w:jc w:val="left"/>
      </w:pPr>
      <w:r>
        <w:rPr>
          <w:rFonts w:eastAsia="等线" w:ascii="Arial" w:cs="Arial" w:hAnsi="Arial"/>
          <w:sz w:val="22"/>
        </w:rPr>
        <w:t>所有材料填写、上传完毕并预览确认无误后，点击“申报评估”按钮正式提交。</w:t>
      </w:r>
    </w:p>
    <w:p>
      <w:pPr>
        <w:numPr>
          <w:numId w:val="28"/>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：《数据出境申报系统使用手册》第五部分“数据出境安全评估申报流程”；《数据出境安全评估申报指南（第三版）》第二（一）条“系统登录与项目申报”。</w:t>
      </w:r>
    </w:p>
    <w:p>
      <w:pPr>
        <w:spacing w:before="120" w:after="120" w:line="288" w:lineRule="auto"/>
        <w:ind w:left="0"/>
        <w:jc w:val="left"/>
      </w:pPr>
      <w:r>
        <w:rPr>
          <w:rFonts w:eastAsia="等线" w:ascii="Arial" w:cs="Arial" w:hAnsi="Arial"/>
          <w:b w:val="true"/>
          <w:sz w:val="22"/>
        </w:rPr>
        <w:t>第三阶段：监管审查与评估</w:t>
      </w:r>
    </w:p>
    <w:p>
      <w:pPr>
        <w:numPr>
          <w:numId w:val="29"/>
        </w:numPr>
        <w:spacing w:before="120" w:after="120" w:line="288" w:lineRule="auto"/>
        <w:ind w:left="0"/>
        <w:jc w:val="left"/>
      </w:pPr>
      <w:r>
        <w:rPr>
          <w:rFonts w:eastAsia="等线" w:ascii="Arial" w:cs="Arial" w:hAnsi="Arial"/>
          <w:b w:val="true"/>
          <w:sz w:val="22"/>
        </w:rPr>
        <w:t>完备性查验（省级网信办）</w:t>
      </w:r>
      <w:r>
        <w:rPr>
          <w:rFonts w:eastAsia="等线" w:ascii="Arial" w:cs="Arial" w:hAnsi="Arial"/>
          <w:sz w:val="22"/>
        </w:rPr>
        <w:t>：</w:t>
      </w:r>
    </w:p>
    <w:p>
      <w:pPr>
        <w:numPr>
          <w:numId w:val="30"/>
        </w:numPr>
        <w:spacing w:before="120" w:after="120" w:line="288" w:lineRule="auto"/>
        <w:ind w:left="453"/>
        <w:jc w:val="left"/>
      </w:pPr>
      <w:r>
        <w:rPr>
          <w:rFonts w:eastAsia="等线" w:ascii="Arial" w:cs="Arial" w:hAnsi="Arial"/>
          <w:sz w:val="22"/>
        </w:rPr>
        <w:t>数据处理者提交材料后，</w:t>
      </w:r>
      <w:r>
        <w:rPr>
          <w:rFonts w:eastAsia="等线" w:ascii="Arial" w:cs="Arial" w:hAnsi="Arial"/>
          <w:b w:val="true"/>
          <w:sz w:val="22"/>
        </w:rPr>
        <w:t>5个工作日内</w:t>
      </w:r>
      <w:r>
        <w:rPr>
          <w:rFonts w:eastAsia="等线" w:ascii="Arial" w:cs="Arial" w:hAnsi="Arial"/>
          <w:sz w:val="22"/>
        </w:rPr>
        <w:t>，所在地省级网信办完成对申报材料是否齐全、是否符合格式要求的完备性查验。</w:t>
      </w:r>
    </w:p>
    <w:p>
      <w:pPr>
        <w:numPr>
          <w:numId w:val="31"/>
        </w:numPr>
        <w:spacing w:before="120" w:after="120" w:line="288" w:lineRule="auto"/>
        <w:ind w:left="453"/>
        <w:jc w:val="left"/>
      </w:pPr>
      <w:r>
        <w:rPr>
          <w:rFonts w:eastAsia="等线" w:ascii="Arial" w:cs="Arial" w:hAnsi="Arial"/>
          <w:sz w:val="22"/>
        </w:rPr>
        <w:t>查验结果（通过或未通过）会更新在申报系统中。若未通过，省级网信办将通过系统告知具体原因。</w:t>
      </w:r>
    </w:p>
    <w:p>
      <w:pPr>
        <w:numPr>
          <w:numId w:val="32"/>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：《数据出境安全评估申报指南（第三版）》第二（二）条“完备性查验与项目受理”。</w:t>
      </w:r>
    </w:p>
    <w:p>
      <w:pPr>
        <w:numPr>
          <w:numId w:val="33"/>
        </w:numPr>
        <w:spacing w:before="120" w:after="120" w:line="288" w:lineRule="auto"/>
        <w:ind w:left="0"/>
        <w:jc w:val="left"/>
      </w:pPr>
      <w:r>
        <w:rPr>
          <w:rFonts w:eastAsia="等线" w:ascii="Arial" w:cs="Arial" w:hAnsi="Arial"/>
          <w:b w:val="true"/>
          <w:sz w:val="22"/>
        </w:rPr>
        <w:t>受理决定（国家网信办）</w:t>
      </w:r>
      <w:r>
        <w:rPr>
          <w:rFonts w:eastAsia="等线" w:ascii="Arial" w:cs="Arial" w:hAnsi="Arial"/>
          <w:sz w:val="22"/>
        </w:rPr>
        <w:t>：</w:t>
      </w:r>
    </w:p>
    <w:p>
      <w:pPr>
        <w:numPr>
          <w:numId w:val="34"/>
        </w:numPr>
        <w:spacing w:before="120" w:after="120" w:line="288" w:lineRule="auto"/>
        <w:ind w:left="453"/>
        <w:jc w:val="left"/>
      </w:pPr>
      <w:r>
        <w:rPr>
          <w:rFonts w:eastAsia="等线" w:ascii="Arial" w:cs="Arial" w:hAnsi="Arial"/>
          <w:sz w:val="22"/>
        </w:rPr>
        <w:t>通过完备性查验的申报材料，由省级网信办提请国家网信办受理。</w:t>
      </w:r>
    </w:p>
    <w:p>
      <w:pPr>
        <w:numPr>
          <w:numId w:val="35"/>
        </w:numPr>
        <w:spacing w:before="120" w:after="120" w:line="288" w:lineRule="auto"/>
        <w:ind w:left="453"/>
        <w:jc w:val="left"/>
      </w:pPr>
      <w:r>
        <w:rPr>
          <w:rFonts w:eastAsia="等线" w:ascii="Arial" w:cs="Arial" w:hAnsi="Arial"/>
          <w:sz w:val="22"/>
        </w:rPr>
        <w:t>国家网信办在收到材料后</w:t>
      </w:r>
      <w:r>
        <w:rPr>
          <w:rFonts w:eastAsia="等线" w:ascii="Arial" w:cs="Arial" w:hAnsi="Arial"/>
          <w:b w:val="true"/>
          <w:sz w:val="22"/>
        </w:rPr>
        <w:t>7个工作日内</w:t>
      </w:r>
      <w:r>
        <w:rPr>
          <w:rFonts w:eastAsia="等线" w:ascii="Arial" w:cs="Arial" w:hAnsi="Arial"/>
          <w:sz w:val="22"/>
        </w:rPr>
        <w:t>，作出是否受理的决定，并出具书面受理通知书（结果同步更新于系统）。</w:t>
      </w:r>
    </w:p>
    <w:p>
      <w:pPr>
        <w:numPr>
          <w:numId w:val="36"/>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：《数据出境安全评估申报指南（第三版）》第二（二）条。</w:t>
      </w:r>
    </w:p>
    <w:p>
      <w:pPr>
        <w:numPr>
          <w:numId w:val="37"/>
        </w:numPr>
        <w:spacing w:before="120" w:after="120" w:line="288" w:lineRule="auto"/>
        <w:ind w:left="0"/>
        <w:jc w:val="left"/>
      </w:pPr>
      <w:r>
        <w:rPr>
          <w:rFonts w:eastAsia="等线" w:ascii="Arial" w:cs="Arial" w:hAnsi="Arial"/>
          <w:b w:val="true"/>
          <w:sz w:val="22"/>
        </w:rPr>
        <w:t>安全评估（国家网信办）</w:t>
      </w:r>
      <w:r>
        <w:rPr>
          <w:rFonts w:eastAsia="等线" w:ascii="Arial" w:cs="Arial" w:hAnsi="Arial"/>
          <w:sz w:val="22"/>
        </w:rPr>
        <w:t>：</w:t>
      </w:r>
    </w:p>
    <w:p>
      <w:pPr>
        <w:numPr>
          <w:numId w:val="38"/>
        </w:numPr>
        <w:spacing w:before="120" w:after="120" w:line="288" w:lineRule="auto"/>
        <w:ind w:left="453"/>
        <w:jc w:val="left"/>
      </w:pPr>
      <w:r>
        <w:rPr>
          <w:rFonts w:eastAsia="等线" w:ascii="Arial" w:cs="Arial" w:hAnsi="Arial"/>
          <w:sz w:val="22"/>
        </w:rPr>
        <w:t>自出具受理通知书后，国家网信办立即组织开展安全评估工作，评估期限一般为45个工作日（自出具受理通知书之日起计算）。</w:t>
      </w:r>
    </w:p>
    <w:p>
      <w:pPr>
        <w:numPr>
          <w:numId w:val="39"/>
        </w:numPr>
        <w:spacing w:before="120" w:after="120" w:line="288" w:lineRule="auto"/>
        <w:ind w:left="453"/>
        <w:jc w:val="left"/>
      </w:pPr>
      <w:r>
        <w:rPr>
          <w:rFonts w:eastAsia="等线" w:ascii="Arial" w:cs="Arial" w:hAnsi="Arial"/>
          <w:sz w:val="22"/>
        </w:rPr>
        <w:t>在评估过程中，如需补充或更正材料，国家网信办会通过系统告知。数据处理者需按要求及时在系统中补充提交。无正当理由不予补充的，评估可能被终止。</w:t>
      </w:r>
    </w:p>
    <w:p>
      <w:pPr>
        <w:numPr>
          <w:numId w:val="40"/>
        </w:numPr>
        <w:spacing w:before="120" w:after="120" w:line="288" w:lineRule="auto"/>
        <w:ind w:left="453"/>
        <w:jc w:val="left"/>
      </w:pPr>
      <w:r>
        <w:rPr>
          <w:rFonts w:eastAsia="等线" w:ascii="Arial" w:cs="Arial" w:hAnsi="Arial"/>
          <w:sz w:val="22"/>
        </w:rPr>
        <w:t>情况复杂或需补充材料的，评估期限可适当延长，国家网信办会告知预计延长时间。</w:t>
      </w:r>
    </w:p>
    <w:p>
      <w:pPr>
        <w:numPr>
          <w:numId w:val="41"/>
        </w:numPr>
        <w:spacing w:before="120" w:after="120" w:line="288" w:lineRule="auto"/>
        <w:ind w:left="453"/>
        <w:jc w:val="left"/>
      </w:pPr>
      <w:r>
        <w:rPr>
          <w:rFonts w:eastAsia="等线" w:ascii="Arial" w:cs="Arial" w:hAnsi="Arial"/>
          <w:sz w:val="22"/>
        </w:rPr>
        <w:t>数据处理者可通过申报系统实时查询项目状态和进展。</w:t>
      </w:r>
    </w:p>
    <w:p>
      <w:pPr>
        <w:numPr>
          <w:numId w:val="42"/>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：《数据出境安全评估申报指南（第三版）》第二（三）条“补充更正材料与查询评估进展”。</w:t>
      </w:r>
    </w:p>
    <w:p>
      <w:pPr>
        <w:spacing w:before="120" w:after="120" w:line="288" w:lineRule="auto"/>
        <w:ind w:left="0"/>
        <w:jc w:val="left"/>
      </w:pPr>
      <w:r>
        <w:rPr>
          <w:rFonts w:eastAsia="等线" w:ascii="Arial" w:cs="Arial" w:hAnsi="Arial"/>
          <w:b w:val="true"/>
          <w:sz w:val="22"/>
        </w:rPr>
        <w:t>第四阶段：结果获取与后续义务</w:t>
      </w:r>
    </w:p>
    <w:p>
      <w:pPr>
        <w:numPr>
          <w:numId w:val="43"/>
        </w:numPr>
        <w:spacing w:before="120" w:after="120" w:line="288" w:lineRule="auto"/>
        <w:ind w:left="0"/>
        <w:jc w:val="left"/>
      </w:pPr>
      <w:r>
        <w:rPr>
          <w:rFonts w:eastAsia="等线" w:ascii="Arial" w:cs="Arial" w:hAnsi="Arial"/>
          <w:b w:val="true"/>
          <w:sz w:val="22"/>
        </w:rPr>
        <w:t>获取评估结果</w:t>
      </w:r>
      <w:r>
        <w:rPr>
          <w:rFonts w:eastAsia="等线" w:ascii="Arial" w:cs="Arial" w:hAnsi="Arial"/>
          <w:sz w:val="22"/>
        </w:rPr>
        <w:t>：</w:t>
      </w:r>
    </w:p>
    <w:p>
      <w:pPr>
        <w:numPr>
          <w:numId w:val="44"/>
        </w:numPr>
        <w:spacing w:before="120" w:after="120" w:line="288" w:lineRule="auto"/>
        <w:ind w:left="453"/>
        <w:jc w:val="left"/>
      </w:pPr>
      <w:r>
        <w:rPr>
          <w:rFonts w:eastAsia="等线" w:ascii="Arial" w:cs="Arial" w:hAnsi="Arial"/>
          <w:sz w:val="22"/>
        </w:rPr>
        <w:t>评估完成后，国家网信办出具评估结果通知书（通过或不通过），并通过系统送达数据处理者。结果也会短信通知注册手机号。</w:t>
      </w:r>
    </w:p>
    <w:p>
      <w:pPr>
        <w:numPr>
          <w:numId w:val="45"/>
        </w:numPr>
        <w:spacing w:before="120" w:after="120" w:line="288" w:lineRule="auto"/>
        <w:ind w:left="453"/>
        <w:jc w:val="left"/>
      </w:pPr>
      <w:r>
        <w:rPr>
          <w:rFonts w:eastAsia="等线" w:ascii="Arial" w:cs="Arial" w:hAnsi="Arial"/>
          <w:sz w:val="22"/>
        </w:rPr>
        <w:t>对评估结果有异议的，可在收到通知书</w:t>
      </w:r>
      <w:r>
        <w:rPr>
          <w:rFonts w:eastAsia="等线" w:ascii="Arial" w:cs="Arial" w:hAnsi="Arial"/>
          <w:b w:val="true"/>
          <w:sz w:val="22"/>
        </w:rPr>
        <w:t>15个工作日内</w:t>
      </w:r>
      <w:r>
        <w:rPr>
          <w:rFonts w:eastAsia="等线" w:ascii="Arial" w:cs="Arial" w:hAnsi="Arial"/>
          <w:sz w:val="22"/>
        </w:rPr>
        <w:t>向国家网信办申请复评，复评为最终结论。</w:t>
      </w:r>
    </w:p>
    <w:p>
      <w:pPr>
        <w:numPr>
          <w:numId w:val="46"/>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：《数据出境安全评估申报指南（第三版）》第二（三）条。</w:t>
      </w:r>
    </w:p>
    <w:p>
      <w:pPr>
        <w:numPr>
          <w:numId w:val="47"/>
        </w:numPr>
        <w:spacing w:before="120" w:after="120" w:line="288" w:lineRule="auto"/>
        <w:ind w:left="0"/>
        <w:jc w:val="left"/>
      </w:pPr>
      <w:r>
        <w:rPr>
          <w:rFonts w:eastAsia="等线" w:ascii="Arial" w:cs="Arial" w:hAnsi="Arial"/>
          <w:b w:val="true"/>
          <w:sz w:val="22"/>
        </w:rPr>
        <w:t>合规开展出境活动</w:t>
      </w:r>
      <w:r>
        <w:rPr>
          <w:rFonts w:eastAsia="等线" w:ascii="Arial" w:cs="Arial" w:hAnsi="Arial"/>
          <w:sz w:val="22"/>
        </w:rPr>
        <w:t>：</w:t>
      </w:r>
    </w:p>
    <w:p>
      <w:pPr>
        <w:numPr>
          <w:numId w:val="48"/>
        </w:numPr>
        <w:spacing w:before="120" w:after="120" w:line="288" w:lineRule="auto"/>
        <w:ind w:left="453"/>
        <w:jc w:val="left"/>
      </w:pPr>
      <w:r>
        <w:rPr>
          <w:rFonts w:eastAsia="等线" w:ascii="Arial" w:cs="Arial" w:hAnsi="Arial"/>
          <w:sz w:val="22"/>
        </w:rPr>
        <w:t>获得通过的结果后，数据处理者必须严格按照评估结果通知书中的要求，以及数据出境相关法律法规，规范开展数据出境活动。</w:t>
      </w:r>
    </w:p>
    <w:p>
      <w:pPr>
        <w:numPr>
          <w:numId w:val="49"/>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：《数据出境安全评估申报指南（第三版）》第二（三）条。</w:t>
      </w:r>
    </w:p>
    <w:p>
      <w:pPr>
        <w:spacing w:before="120" w:after="120" w:line="288" w:lineRule="auto"/>
        <w:ind w:left="0"/>
        <w:jc w:val="left"/>
      </w:pPr>
      <w:r>
        <w:rPr>
          <w:rFonts w:eastAsia="等线" w:ascii="Arial" w:cs="Arial" w:hAnsi="Arial"/>
          <w:b w:val="true"/>
          <w:sz w:val="22"/>
        </w:rPr>
        <w:t>第五阶段：评估结果有效期延长</w:t>
      </w:r>
    </w:p>
    <w:p>
      <w:pPr>
        <w:numPr>
          <w:numId w:val="50"/>
        </w:numPr>
        <w:spacing w:before="120" w:after="120" w:line="288" w:lineRule="auto"/>
        <w:ind w:left="0"/>
        <w:jc w:val="left"/>
      </w:pPr>
      <w:r>
        <w:rPr>
          <w:rFonts w:eastAsia="等线" w:ascii="Arial" w:cs="Arial" w:hAnsi="Arial"/>
          <w:b w:val="true"/>
          <w:sz w:val="22"/>
        </w:rPr>
        <w:t>确认适用条件</w:t>
      </w:r>
      <w:r>
        <w:rPr>
          <w:rFonts w:eastAsia="等线" w:ascii="Arial" w:cs="Arial" w:hAnsi="Arial"/>
          <w:sz w:val="22"/>
        </w:rPr>
        <w:t>：在评估结果有效期届满前</w:t>
      </w:r>
      <w:r>
        <w:rPr>
          <w:rFonts w:eastAsia="等线" w:ascii="Arial" w:cs="Arial" w:hAnsi="Arial"/>
          <w:b w:val="true"/>
          <w:sz w:val="22"/>
        </w:rPr>
        <w:t>60个工作日内</w:t>
      </w:r>
      <w:r>
        <w:rPr>
          <w:rFonts w:eastAsia="等线" w:ascii="Arial" w:cs="Arial" w:hAnsi="Arial"/>
          <w:sz w:val="22"/>
        </w:rPr>
        <w:t>，若数据出境的目的、范围、双方主体、法律文件等未发生实质性变化，且过去三年合规开展活动，可申请延长有效期。</w:t>
      </w:r>
    </w:p>
    <w:p>
      <w:pPr>
        <w:numPr>
          <w:numId w:val="51"/>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：《数据出境安全评估申报指南（第三版）》第三（一）条“适用条件”。</w:t>
      </w:r>
    </w:p>
    <w:p>
      <w:pPr>
        <w:numPr>
          <w:numId w:val="52"/>
        </w:numPr>
        <w:spacing w:before="120" w:after="120" w:line="288" w:lineRule="auto"/>
        <w:ind w:left="0"/>
        <w:jc w:val="left"/>
      </w:pPr>
      <w:r>
        <w:rPr>
          <w:rFonts w:eastAsia="等线" w:ascii="Arial" w:cs="Arial" w:hAnsi="Arial"/>
          <w:b w:val="true"/>
          <w:sz w:val="22"/>
        </w:rPr>
        <w:t>在线申请延长</w:t>
      </w:r>
      <w:r>
        <w:rPr>
          <w:rFonts w:eastAsia="等线" w:ascii="Arial" w:cs="Arial" w:hAnsi="Arial"/>
          <w:sz w:val="22"/>
        </w:rPr>
        <w:t>：</w:t>
      </w:r>
    </w:p>
    <w:p>
      <w:pPr>
        <w:numPr>
          <w:numId w:val="53"/>
        </w:numPr>
        <w:spacing w:before="120" w:after="120" w:line="288" w:lineRule="auto"/>
        <w:ind w:left="453"/>
        <w:jc w:val="left"/>
      </w:pPr>
      <w:r>
        <w:rPr>
          <w:rFonts w:eastAsia="等线" w:ascii="Arial" w:cs="Arial" w:hAnsi="Arial"/>
          <w:sz w:val="22"/>
        </w:rPr>
        <w:t>登录系统，在对应已通过项目的操作栏点击“申请延长”。</w:t>
      </w:r>
    </w:p>
    <w:p>
      <w:pPr>
        <w:numPr>
          <w:numId w:val="54"/>
        </w:numPr>
        <w:spacing w:before="120" w:after="120" w:line="288" w:lineRule="auto"/>
        <w:ind w:left="453"/>
        <w:jc w:val="left"/>
      </w:pPr>
      <w:r>
        <w:rPr>
          <w:rFonts w:eastAsia="等线" w:ascii="Arial" w:cs="Arial" w:hAnsi="Arial"/>
          <w:sz w:val="22"/>
        </w:rPr>
        <w:t>填写《延长评估结果有效期申请表》（使用指南附件5模板），并上传相关材料（如无变化的证照可免于重新提交）。</w:t>
      </w:r>
    </w:p>
    <w:p>
      <w:pPr>
        <w:numPr>
          <w:numId w:val="55"/>
        </w:numPr>
        <w:spacing w:before="120" w:after="120" w:line="288" w:lineRule="auto"/>
        <w:ind w:left="453"/>
        <w:jc w:val="left"/>
      </w:pPr>
      <w:r>
        <w:rPr>
          <w:rFonts w:eastAsia="等线" w:ascii="Arial" w:cs="Arial" w:hAnsi="Arial"/>
          <w:sz w:val="22"/>
        </w:rPr>
        <w:t>提交后，省级网信办在</w:t>
      </w:r>
      <w:r>
        <w:rPr>
          <w:rFonts w:eastAsia="等线" w:ascii="Arial" w:cs="Arial" w:hAnsi="Arial"/>
          <w:b w:val="true"/>
          <w:sz w:val="22"/>
        </w:rPr>
        <w:t>5个工作日内</w:t>
      </w:r>
      <w:r>
        <w:rPr>
          <w:rFonts w:eastAsia="等线" w:ascii="Arial" w:cs="Arial" w:hAnsi="Arial"/>
          <w:sz w:val="22"/>
        </w:rPr>
        <w:t>完成完备性查验。通过后报国家网信办。</w:t>
      </w:r>
    </w:p>
    <w:p>
      <w:pPr>
        <w:numPr>
          <w:numId w:val="56"/>
        </w:numPr>
        <w:spacing w:before="120" w:after="120" w:line="288" w:lineRule="auto"/>
        <w:ind w:left="453"/>
        <w:jc w:val="left"/>
      </w:pPr>
      <w:r>
        <w:rPr>
          <w:rFonts w:eastAsia="等线" w:ascii="Arial" w:cs="Arial" w:hAnsi="Arial"/>
          <w:sz w:val="22"/>
        </w:rPr>
        <w:t>国家网信办在</w:t>
      </w:r>
      <w:r>
        <w:rPr>
          <w:rFonts w:eastAsia="等线" w:ascii="Arial" w:cs="Arial" w:hAnsi="Arial"/>
          <w:b w:val="true"/>
          <w:sz w:val="22"/>
        </w:rPr>
        <w:t>20个工作日内</w:t>
      </w:r>
      <w:r>
        <w:rPr>
          <w:rFonts w:eastAsia="等线" w:ascii="Arial" w:cs="Arial" w:hAnsi="Arial"/>
          <w:sz w:val="22"/>
        </w:rPr>
        <w:t>完成审核，作出是否准予延长的决定并通知。</w:t>
      </w:r>
    </w:p>
    <w:p>
      <w:pPr>
        <w:numPr>
          <w:numId w:val="57"/>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：《数据出境申报系统使用手册》第六部分“数据出境安全评估有效期延长申请流程”；《数据出境安全评估申报指南（第三版）》第三（二）至（四）条。</w:t>
      </w:r>
    </w:p>
    <w:p>
      <w:pPr>
        <w:pStyle w:val="4"/>
        <w:spacing w:before="260" w:after="120" w:line="288" w:lineRule="auto"/>
        <w:ind w:left="0"/>
        <w:jc w:val="left"/>
        <w:outlineLvl w:val="3"/>
      </w:pPr>
      <w:bookmarkStart w:name="heading_1" w:id="1"/>
      <w:r>
        <w:rPr>
          <w:rFonts w:eastAsia="等线" w:ascii="Arial" w:cs="Arial" w:hAnsi="Arial"/>
          <w:b w:val="true"/>
          <w:sz w:val="28"/>
        </w:rPr>
        <w:t>路径二：个人信息出境认证</w:t>
      </w:r>
      <w:bookmarkEnd w:id="1"/>
    </w:p>
    <w:p>
      <w:pPr>
        <w:spacing w:before="120" w:after="120" w:line="288" w:lineRule="auto"/>
        <w:ind w:left="0"/>
        <w:jc w:val="left"/>
      </w:pPr>
      <w:r>
        <w:rPr>
          <w:rFonts w:eastAsia="等线" w:ascii="Arial" w:cs="Arial" w:hAnsi="Arial"/>
          <w:sz w:val="22"/>
        </w:rPr>
        <w:t>个人信息出境认证具体流程描述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本流程依据《个人信息出境认证办法》（国家互联网信息办公室、国家市场监督管理总局令第20号，2026年1月1日起施行）制定，适用于通过认证方式向境外提供个人信息的活动。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 流程启动前自查与前置义务履行</w:t>
      </w:r>
    </w:p>
    <w:p>
      <w:pPr>
        <w:numPr>
          <w:numId w:val="58"/>
        </w:numPr>
        <w:spacing w:before="120" w:after="120" w:line="288" w:lineRule="auto"/>
        <w:ind w:left="0"/>
        <w:jc w:val="left"/>
      </w:pPr>
      <w:r>
        <w:rPr>
          <w:rFonts w:eastAsia="等线" w:ascii="Arial" w:cs="Arial" w:hAnsi="Arial"/>
          <w:sz w:val="22"/>
        </w:rPr>
        <w:t>确认适用条件：个人信息处理者需确认自身同时满足以下两项条件，方可选择认证路径。</w:t>
      </w:r>
    </w:p>
    <w:p>
      <w:pPr>
        <w:spacing w:before="120" w:after="120" w:line="288" w:lineRule="auto"/>
        <w:ind w:left="0"/>
        <w:jc w:val="left"/>
      </w:pPr>
      <w:r>
        <w:rPr>
          <w:rFonts w:eastAsia="等线" w:ascii="Arial" w:cs="Arial" w:hAnsi="Arial"/>
          <w:sz w:val="22"/>
        </w:rPr>
        <w:t>◦   操作：自查确认（1）自身非关键信息基础设施运营者；（2）自当年1月1日起，累计拟向境外提供的个人信息数量为：10万人以上、不满100万人的个人信息（不含敏感个人信息），或者不满1万人的敏感个人信息。拟出境数据中不得包含重要数据。</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依据：《个人信息出境认证办法》第五条。</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禁止行为：不得通过拆分数量等方式，将本应通过安全评估的数据转为申请认证。</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依据：《个人信息出境认证办法》第五条第三款。</w:t>
      </w:r>
    </w:p>
    <w:p>
      <w:pPr>
        <w:spacing w:before="120" w:after="120" w:line="288" w:lineRule="auto"/>
        <w:ind w:left="453"/>
        <w:jc w:val="left"/>
      </w:pPr>
    </w:p>
    <w:p>
      <w:pPr>
        <w:numPr>
          <w:numId w:val="59"/>
        </w:numPr>
        <w:spacing w:before="120" w:after="120" w:line="288" w:lineRule="auto"/>
        <w:ind w:left="0"/>
        <w:jc w:val="left"/>
      </w:pPr>
      <w:r>
        <w:rPr>
          <w:rFonts w:eastAsia="等线" w:ascii="Arial" w:cs="Arial" w:hAnsi="Arial"/>
          <w:sz w:val="22"/>
        </w:rPr>
        <w:t>履行法定义务：在申请认证前，必须依法完成以下工作。</w:t>
      </w:r>
    </w:p>
    <w:p>
      <w:pPr>
        <w:spacing w:before="120" w:after="120" w:line="288" w:lineRule="auto"/>
        <w:ind w:left="0"/>
        <w:jc w:val="left"/>
      </w:pPr>
      <w:r>
        <w:rPr>
          <w:rFonts w:eastAsia="等线" w:ascii="Arial" w:cs="Arial" w:hAnsi="Arial"/>
          <w:sz w:val="22"/>
        </w:rPr>
        <w:t>◦   操作：（1）向个人信息主体履行告知义务；（2）取得个人单独同意；（3）完成个人信息保护影响评估。</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评估内容：评估必须涵盖出境目的、范围、方式的合法性、正当性、必要性；出境信息的规模、种类、敏感程度及可能风险；境外接收方的义务承诺与保障能力；出境后数据安全风险及维权渠道；接收方所在国家或地区的法律政策影响等事项。</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依据：《个人信息出境认证办法》第六条。</w:t>
      </w:r>
    </w:p>
    <w:p>
      <w:pPr>
        <w:spacing w:before="120" w:after="120" w:line="288" w:lineRule="auto"/>
        <w:ind w:left="453"/>
        <w:jc w:val="left"/>
      </w:pPr>
    </w:p>
    <w:p>
      <w:pPr>
        <w:spacing w:before="120" w:after="120" w:line="288" w:lineRule="auto"/>
        <w:ind w:left="453"/>
        <w:jc w:val="left"/>
      </w:pPr>
    </w:p>
    <w:p>
      <w:pPr>
        <w:spacing w:before="120" w:after="120" w:line="288" w:lineRule="auto"/>
        <w:ind w:left="0"/>
        <w:jc w:val="left"/>
      </w:pPr>
      <w:r>
        <w:rPr>
          <w:rFonts w:eastAsia="等线" w:ascii="Arial" w:cs="Arial" w:hAnsi="Arial"/>
          <w:sz w:val="22"/>
        </w:rPr>
        <w:t>二、 选择与对接认证机构</w:t>
      </w:r>
    </w:p>
    <w:p>
      <w:pPr>
        <w:numPr>
          <w:numId w:val="60"/>
        </w:numPr>
        <w:spacing w:before="120" w:after="120" w:line="288" w:lineRule="auto"/>
        <w:ind w:left="0"/>
        <w:jc w:val="left"/>
      </w:pPr>
      <w:r>
        <w:rPr>
          <w:rFonts w:eastAsia="等线" w:ascii="Arial" w:cs="Arial" w:hAnsi="Arial"/>
          <w:sz w:val="22"/>
        </w:rPr>
        <w:t>确认机构资质：选择已依法取得个人信息保护认证资质的专业认证机构。</w:t>
      </w:r>
    </w:p>
    <w:p>
      <w:pPr>
        <w:spacing w:before="120" w:after="120" w:line="288" w:lineRule="auto"/>
        <w:ind w:left="0"/>
        <w:jc w:val="left"/>
      </w:pPr>
      <w:r>
        <w:rPr>
          <w:rFonts w:eastAsia="等线" w:ascii="Arial" w:cs="Arial" w:hAnsi="Arial"/>
          <w:sz w:val="22"/>
        </w:rPr>
        <w:t>◦   依据：《个人信息出境认证办法》第三条、第八条。</w:t>
      </w:r>
    </w:p>
    <w:p>
      <w:pPr>
        <w:spacing w:before="120" w:after="120" w:line="288" w:lineRule="auto"/>
        <w:ind w:left="453"/>
        <w:jc w:val="left"/>
      </w:pPr>
    </w:p>
    <w:p>
      <w:pPr>
        <w:numPr>
          <w:numId w:val="61"/>
        </w:numPr>
        <w:spacing w:before="120" w:after="120" w:line="288" w:lineRule="auto"/>
        <w:ind w:left="0"/>
        <w:jc w:val="left"/>
      </w:pPr>
      <w:r>
        <w:rPr>
          <w:rFonts w:eastAsia="等线" w:ascii="Arial" w:cs="Arial" w:hAnsi="Arial"/>
          <w:sz w:val="22"/>
        </w:rPr>
        <w:t>境外主体特殊要求：若个人信息处理者位于中华人民共和国境外，必须由其在中国境内设立的专门机构或指定的代表协助进行申请。</w:t>
      </w:r>
    </w:p>
    <w:p>
      <w:pPr>
        <w:spacing w:before="120" w:after="120" w:line="288" w:lineRule="auto"/>
        <w:ind w:left="0"/>
        <w:jc w:val="left"/>
      </w:pPr>
      <w:r>
        <w:rPr>
          <w:rFonts w:eastAsia="等线" w:ascii="Arial" w:cs="Arial" w:hAnsi="Arial"/>
          <w:sz w:val="22"/>
        </w:rPr>
        <w:t>◦   依据：《个人信息出境认证办法》第七条第二款。</w:t>
      </w:r>
    </w:p>
    <w:p>
      <w:pPr>
        <w:spacing w:before="120" w:after="120" w:line="288" w:lineRule="auto"/>
        <w:ind w:left="453"/>
        <w:jc w:val="left"/>
      </w:pPr>
    </w:p>
    <w:p>
      <w:pPr>
        <w:spacing w:before="120" w:after="120" w:line="288" w:lineRule="auto"/>
        <w:ind w:left="453"/>
        <w:jc w:val="left"/>
      </w:pPr>
    </w:p>
    <w:p>
      <w:pPr>
        <w:spacing w:before="120" w:after="120" w:line="288" w:lineRule="auto"/>
        <w:ind w:left="0"/>
        <w:jc w:val="left"/>
      </w:pPr>
      <w:r>
        <w:rPr>
          <w:rFonts w:eastAsia="等线" w:ascii="Arial" w:cs="Arial" w:hAnsi="Arial"/>
          <w:sz w:val="22"/>
        </w:rPr>
        <w:t>三、 提交申请与认证审核</w:t>
      </w:r>
    </w:p>
    <w:p>
      <w:pPr>
        <w:numPr>
          <w:numId w:val="62"/>
        </w:numPr>
        <w:spacing w:before="120" w:after="120" w:line="288" w:lineRule="auto"/>
        <w:ind w:left="0"/>
        <w:jc w:val="left"/>
      </w:pPr>
      <w:r>
        <w:rPr>
          <w:rFonts w:eastAsia="等线" w:ascii="Arial" w:cs="Arial" w:hAnsi="Arial"/>
          <w:sz w:val="22"/>
        </w:rPr>
        <w:t>提交认证申请：个人信息处理者向选定的专业认证机构提交认证申请及相关材料。</w:t>
      </w:r>
    </w:p>
    <w:p>
      <w:pPr>
        <w:spacing w:before="120" w:after="120" w:line="288" w:lineRule="auto"/>
        <w:ind w:left="0"/>
        <w:jc w:val="left"/>
      </w:pPr>
      <w:r>
        <w:rPr>
          <w:rFonts w:eastAsia="等线" w:ascii="Arial" w:cs="Arial" w:hAnsi="Arial"/>
          <w:sz w:val="22"/>
        </w:rPr>
        <w:t>◦   依据：《个人信息出境认证办法》第七条第一款。</w:t>
      </w:r>
    </w:p>
    <w:p>
      <w:pPr>
        <w:spacing w:before="120" w:after="120" w:line="288" w:lineRule="auto"/>
        <w:ind w:left="453"/>
        <w:jc w:val="left"/>
      </w:pPr>
    </w:p>
    <w:p>
      <w:pPr>
        <w:numPr>
          <w:numId w:val="63"/>
        </w:numPr>
        <w:spacing w:before="120" w:after="120" w:line="288" w:lineRule="auto"/>
        <w:ind w:left="0"/>
        <w:jc w:val="left"/>
      </w:pPr>
      <w:r>
        <w:rPr>
          <w:rFonts w:eastAsia="等线" w:ascii="Arial" w:cs="Arial" w:hAnsi="Arial"/>
          <w:sz w:val="22"/>
        </w:rPr>
        <w:t>机构开展认证：专业认证机构依据国家制定的认证基本规范、个人信息保护认证规则开展审核评定活动。</w:t>
      </w:r>
    </w:p>
    <w:p>
      <w:pPr>
        <w:spacing w:before="120" w:after="120" w:line="288" w:lineRule="auto"/>
        <w:ind w:left="0"/>
        <w:jc w:val="left"/>
      </w:pPr>
      <w:r>
        <w:rPr>
          <w:rFonts w:eastAsia="等线" w:ascii="Arial" w:cs="Arial" w:hAnsi="Arial"/>
          <w:sz w:val="22"/>
        </w:rPr>
        <w:t>◦   依据：《个人信息出境认证办法》第四条、第八条第一款。</w:t>
      </w:r>
    </w:p>
    <w:p>
      <w:pPr>
        <w:spacing w:before="120" w:after="120" w:line="288" w:lineRule="auto"/>
        <w:ind w:left="453"/>
        <w:jc w:val="left"/>
      </w:pPr>
    </w:p>
    <w:p>
      <w:pPr>
        <w:numPr>
          <w:numId w:val="64"/>
        </w:numPr>
        <w:spacing w:before="120" w:after="120" w:line="288" w:lineRule="auto"/>
        <w:ind w:left="0"/>
        <w:jc w:val="left"/>
      </w:pPr>
      <w:r>
        <w:rPr>
          <w:rFonts w:eastAsia="等线" w:ascii="Arial" w:cs="Arial" w:hAnsi="Arial"/>
          <w:sz w:val="22"/>
        </w:rPr>
        <w:t>出具认证证书：经审核，确认个人信息处理者的出境活动符合相关法律、行政法规、部门规章、标准及技术规范要求的，专业认证机构应及时出具个人信息出境认证证书。</w:t>
      </w:r>
    </w:p>
    <w:p>
      <w:pPr>
        <w:spacing w:before="120" w:after="120" w:line="288" w:lineRule="auto"/>
        <w:ind w:left="0"/>
        <w:jc w:val="left"/>
      </w:pPr>
      <w:r>
        <w:rPr>
          <w:rFonts w:eastAsia="等线" w:ascii="Arial" w:cs="Arial" w:hAnsi="Arial"/>
          <w:sz w:val="22"/>
        </w:rPr>
        <w:t>◦   依据：《个人信息出境认证办法》第八条第一款。</w:t>
      </w:r>
    </w:p>
    <w:p>
      <w:pPr>
        <w:spacing w:before="120" w:after="120" w:line="288" w:lineRule="auto"/>
        <w:ind w:left="453"/>
        <w:jc w:val="left"/>
      </w:pPr>
    </w:p>
    <w:p>
      <w:pPr>
        <w:spacing w:before="120" w:after="120" w:line="288" w:lineRule="auto"/>
        <w:ind w:left="453"/>
        <w:jc w:val="left"/>
      </w:pPr>
    </w:p>
    <w:p>
      <w:pPr>
        <w:spacing w:before="120" w:after="120" w:line="288" w:lineRule="auto"/>
        <w:ind w:left="0"/>
        <w:jc w:val="left"/>
      </w:pPr>
      <w:r>
        <w:rPr>
          <w:rFonts w:eastAsia="等线" w:ascii="Arial" w:cs="Arial" w:hAnsi="Arial"/>
          <w:sz w:val="22"/>
        </w:rPr>
        <w:t>四、 证书管理与信息报送</w:t>
      </w:r>
    </w:p>
    <w:p>
      <w:pPr>
        <w:numPr>
          <w:numId w:val="65"/>
        </w:numPr>
        <w:spacing w:before="120" w:after="120" w:line="288" w:lineRule="auto"/>
        <w:ind w:left="0"/>
        <w:jc w:val="left"/>
      </w:pPr>
      <w:r>
        <w:rPr>
          <w:rFonts w:eastAsia="等线" w:ascii="Arial" w:cs="Arial" w:hAnsi="Arial"/>
          <w:sz w:val="22"/>
        </w:rPr>
        <w:t>证书有效期：认证证书自出具之日起有效期为3年。</w:t>
      </w:r>
    </w:p>
    <w:p>
      <w:pPr>
        <w:spacing w:before="120" w:after="120" w:line="288" w:lineRule="auto"/>
        <w:ind w:left="0"/>
        <w:jc w:val="left"/>
      </w:pPr>
      <w:r>
        <w:rPr>
          <w:rFonts w:eastAsia="等线" w:ascii="Arial" w:cs="Arial" w:hAnsi="Arial"/>
          <w:sz w:val="22"/>
        </w:rPr>
        <w:t>◦   依据：《个人信息出境认证办法》第八条第二款。</w:t>
      </w:r>
    </w:p>
    <w:p>
      <w:pPr>
        <w:spacing w:before="120" w:after="120" w:line="288" w:lineRule="auto"/>
        <w:ind w:left="453"/>
        <w:jc w:val="left"/>
      </w:pPr>
    </w:p>
    <w:p>
      <w:pPr>
        <w:numPr>
          <w:numId w:val="66"/>
        </w:numPr>
        <w:spacing w:before="120" w:after="120" w:line="288" w:lineRule="auto"/>
        <w:ind w:left="0"/>
        <w:jc w:val="left"/>
      </w:pPr>
      <w:r>
        <w:rPr>
          <w:rFonts w:eastAsia="等线" w:ascii="Arial" w:cs="Arial" w:hAnsi="Arial"/>
          <w:sz w:val="22"/>
        </w:rPr>
        <w:t>证书状态信息报送：专业认证机构在出具认证证书，或证书状态（如暂停、撤销）发生变化后5个工作日内，必须将证书编号、获证者名称、认证范围、状态变化等信息报送至“全国认证认可信息公共服务平台”。</w:t>
      </w:r>
    </w:p>
    <w:p>
      <w:pPr>
        <w:spacing w:before="120" w:after="120" w:line="288" w:lineRule="auto"/>
        <w:ind w:left="0"/>
        <w:jc w:val="left"/>
      </w:pPr>
      <w:r>
        <w:rPr>
          <w:rFonts w:eastAsia="等线" w:ascii="Arial" w:cs="Arial" w:hAnsi="Arial"/>
          <w:sz w:val="22"/>
        </w:rPr>
        <w:t>◦   依据：《个人信息出境认证办法》第九条。</w:t>
      </w:r>
    </w:p>
    <w:p>
      <w:pPr>
        <w:spacing w:before="120" w:after="120" w:line="288" w:lineRule="auto"/>
        <w:ind w:left="453"/>
        <w:jc w:val="left"/>
      </w:pPr>
    </w:p>
    <w:p>
      <w:pPr>
        <w:numPr>
          <w:numId w:val="67"/>
        </w:numPr>
        <w:spacing w:before="120" w:after="120" w:line="288" w:lineRule="auto"/>
        <w:ind w:left="0"/>
        <w:jc w:val="left"/>
      </w:pPr>
      <w:r>
        <w:rPr>
          <w:rFonts w:eastAsia="等线" w:ascii="Arial" w:cs="Arial" w:hAnsi="Arial"/>
          <w:sz w:val="22"/>
        </w:rPr>
        <w:t>认证机构备案：开展此项认证业务的机构，在取得资质后10个工作日内，需向国家网信部门备案，提交资质证明、专业工作经历、人员背景审查、实施细则、风险防范与持续监督机制等材料。国家网信部门会同国家数据管理部门在30个工作日内完成审核并公示。</w:t>
      </w:r>
    </w:p>
    <w:p>
      <w:pPr>
        <w:spacing w:before="120" w:after="120" w:line="288" w:lineRule="auto"/>
        <w:ind w:left="0"/>
        <w:jc w:val="left"/>
      </w:pPr>
      <w:r>
        <w:rPr>
          <w:rFonts w:eastAsia="等线" w:ascii="Arial" w:cs="Arial" w:hAnsi="Arial"/>
          <w:sz w:val="22"/>
        </w:rPr>
        <w:t>◦   依据：《个人信息出境认证办法》第十二条。</w:t>
      </w:r>
    </w:p>
    <w:p>
      <w:pPr>
        <w:spacing w:before="120" w:after="120" w:line="288" w:lineRule="auto"/>
        <w:ind w:left="453"/>
        <w:jc w:val="left"/>
      </w:pPr>
    </w:p>
    <w:p>
      <w:pPr>
        <w:spacing w:before="120" w:after="120" w:line="288" w:lineRule="auto"/>
        <w:ind w:left="453"/>
        <w:jc w:val="left"/>
      </w:pPr>
    </w:p>
    <w:p>
      <w:pPr>
        <w:spacing w:before="120" w:after="120" w:line="288" w:lineRule="auto"/>
        <w:ind w:left="0"/>
        <w:jc w:val="left"/>
      </w:pPr>
      <w:r>
        <w:rPr>
          <w:rFonts w:eastAsia="等线" w:ascii="Arial" w:cs="Arial" w:hAnsi="Arial"/>
          <w:sz w:val="22"/>
        </w:rPr>
        <w:t>五、 持续监督与合规管理</w:t>
      </w:r>
    </w:p>
    <w:p>
      <w:pPr>
        <w:numPr>
          <w:numId w:val="68"/>
        </w:numPr>
        <w:spacing w:before="120" w:after="120" w:line="288" w:lineRule="auto"/>
        <w:ind w:left="0"/>
        <w:jc w:val="left"/>
      </w:pPr>
      <w:r>
        <w:rPr>
          <w:rFonts w:eastAsia="等线" w:ascii="Arial" w:cs="Arial" w:hAnsi="Arial"/>
          <w:sz w:val="22"/>
        </w:rPr>
        <w:t>证书延续：证书到期需继续使用的，个人信息处理者应在有效期届满前6个月向认证机构提出新的认证申请。</w:t>
      </w:r>
    </w:p>
    <w:p>
      <w:pPr>
        <w:spacing w:before="120" w:after="120" w:line="288" w:lineRule="auto"/>
        <w:ind w:left="0"/>
        <w:jc w:val="left"/>
      </w:pPr>
      <w:r>
        <w:rPr>
          <w:rFonts w:eastAsia="等线" w:ascii="Arial" w:cs="Arial" w:hAnsi="Arial"/>
          <w:sz w:val="22"/>
        </w:rPr>
        <w:t>◦   依据：《个人信息出境认证办法》第八条第二款。</w:t>
      </w:r>
    </w:p>
    <w:p>
      <w:pPr>
        <w:spacing w:before="120" w:after="120" w:line="288" w:lineRule="auto"/>
        <w:ind w:left="453"/>
        <w:jc w:val="left"/>
      </w:pPr>
    </w:p>
    <w:p>
      <w:pPr>
        <w:numPr>
          <w:numId w:val="69"/>
        </w:numPr>
        <w:spacing w:before="120" w:after="120" w:line="288" w:lineRule="auto"/>
        <w:ind w:left="0"/>
        <w:jc w:val="left"/>
      </w:pPr>
      <w:r>
        <w:rPr>
          <w:rFonts w:eastAsia="等线" w:ascii="Arial" w:cs="Arial" w:hAnsi="Arial"/>
          <w:sz w:val="22"/>
        </w:rPr>
        <w:t>机构持续监督：专业认证机构需对获证者进行持续监督。若发现获证者出境情况与认证范围不符等不再符合要求的情形，应暂停直至撤销其证书。</w:t>
      </w:r>
    </w:p>
    <w:p>
      <w:pPr>
        <w:spacing w:before="120" w:after="120" w:line="288" w:lineRule="auto"/>
        <w:ind w:left="0"/>
        <w:jc w:val="left"/>
      </w:pPr>
      <w:r>
        <w:rPr>
          <w:rFonts w:eastAsia="等线" w:ascii="Arial" w:cs="Arial" w:hAnsi="Arial"/>
          <w:sz w:val="22"/>
        </w:rPr>
        <w:t>◦   依据：《个人信息出境认证办法》第十条第一款。</w:t>
      </w:r>
    </w:p>
    <w:p>
      <w:pPr>
        <w:spacing w:before="120" w:after="120" w:line="288" w:lineRule="auto"/>
        <w:ind w:left="453"/>
        <w:jc w:val="left"/>
      </w:pPr>
    </w:p>
    <w:p>
      <w:pPr>
        <w:numPr>
          <w:numId w:val="70"/>
        </w:numPr>
        <w:spacing w:before="120" w:after="120" w:line="288" w:lineRule="auto"/>
        <w:ind w:left="0"/>
        <w:jc w:val="left"/>
      </w:pPr>
      <w:r>
        <w:rPr>
          <w:rFonts w:eastAsia="等线" w:ascii="Arial" w:cs="Arial" w:hAnsi="Arial"/>
          <w:sz w:val="22"/>
        </w:rPr>
        <w:t>行政监督与抽查：国家市场监督管理部门和国家网信部门对认证活动及结果进行监督，开展定期或不定期的检查与抽查。</w:t>
      </w:r>
    </w:p>
    <w:p>
      <w:pPr>
        <w:spacing w:before="120" w:after="120" w:line="288" w:lineRule="auto"/>
        <w:ind w:left="0"/>
        <w:jc w:val="left"/>
      </w:pPr>
      <w:r>
        <w:rPr>
          <w:rFonts w:eastAsia="等线" w:ascii="Arial" w:cs="Arial" w:hAnsi="Arial"/>
          <w:sz w:val="22"/>
        </w:rPr>
        <w:t>◦   依据：《个人信息出境认证办法》第十三条。</w:t>
      </w:r>
    </w:p>
    <w:p>
      <w:pPr>
        <w:spacing w:before="120" w:after="120" w:line="288" w:lineRule="auto"/>
        <w:ind w:left="453"/>
        <w:jc w:val="left"/>
      </w:pPr>
    </w:p>
    <w:p>
      <w:pPr>
        <w:numPr>
          <w:numId w:val="71"/>
        </w:numPr>
        <w:spacing w:before="120" w:after="120" w:line="288" w:lineRule="auto"/>
        <w:ind w:left="0"/>
        <w:jc w:val="left"/>
      </w:pPr>
      <w:r>
        <w:rPr>
          <w:rFonts w:eastAsia="等线" w:ascii="Arial" w:cs="Arial" w:hAnsi="Arial"/>
          <w:sz w:val="22"/>
        </w:rPr>
        <w:t>风险处置与约谈：省级以上网信部门和有关部门发现获证者出境活动存在较大风险或发生安全事件时，可依法进行约谈，获证者应按要求整改。</w:t>
      </w:r>
    </w:p>
    <w:p>
      <w:pPr>
        <w:spacing w:before="120" w:after="120" w:line="288" w:lineRule="auto"/>
        <w:ind w:left="0"/>
        <w:jc w:val="left"/>
      </w:pPr>
      <w:r>
        <w:rPr>
          <w:rFonts w:eastAsia="等线" w:ascii="Arial" w:cs="Arial" w:hAnsi="Arial"/>
          <w:sz w:val="22"/>
        </w:rPr>
        <w:t>◦   依据：《个人信息出境认证办法》第十六条。</w:t>
      </w:r>
    </w:p>
    <w:p>
      <w:pPr>
        <w:spacing w:before="120" w:after="120" w:line="288" w:lineRule="auto"/>
        <w:ind w:left="453"/>
        <w:jc w:val="left"/>
      </w:pPr>
    </w:p>
    <w:p>
      <w:pPr>
        <w:numPr>
          <w:numId w:val="72"/>
        </w:numPr>
        <w:spacing w:before="120" w:after="120" w:line="288" w:lineRule="auto"/>
        <w:ind w:left="0"/>
        <w:jc w:val="left"/>
      </w:pPr>
      <w:r>
        <w:rPr>
          <w:rFonts w:eastAsia="等线" w:ascii="Arial" w:cs="Arial" w:hAnsi="Arial"/>
          <w:sz w:val="22"/>
        </w:rPr>
        <w:t>违规报告义务：认证机构在活动中发现出境活动违反法律法规的，应及时向国家网信部门和有关部门报告。</w:t>
      </w:r>
    </w:p>
    <w:p>
      <w:pPr>
        <w:spacing w:before="120" w:after="120" w:line="288" w:lineRule="auto"/>
        <w:ind w:left="0"/>
        <w:jc w:val="left"/>
      </w:pPr>
      <w:r>
        <w:rPr>
          <w:rFonts w:eastAsia="等线" w:ascii="Arial" w:cs="Arial" w:hAnsi="Arial"/>
          <w:sz w:val="22"/>
        </w:rPr>
        <w:t>◦   依据：《个人信息出境认证办法》第十一条。</w:t>
      </w:r>
    </w:p>
    <w:p>
      <w:pPr>
        <w:pStyle w:val="4"/>
        <w:spacing w:before="260" w:after="120" w:line="288" w:lineRule="auto"/>
        <w:ind w:left="0"/>
        <w:jc w:val="left"/>
        <w:outlineLvl w:val="3"/>
      </w:pPr>
      <w:bookmarkStart w:name="heading_2" w:id="2"/>
      <w:r>
        <w:rPr>
          <w:rFonts w:eastAsia="等线" w:ascii="Arial" w:cs="Arial" w:hAnsi="Arial"/>
          <w:b w:val="true"/>
          <w:sz w:val="28"/>
        </w:rPr>
        <w:t>路径三：个人信息出境标准合同备案路径</w:t>
      </w:r>
      <w:bookmarkEnd w:id="2"/>
    </w:p>
    <w:p>
      <w:pPr>
        <w:spacing w:before="120" w:after="120" w:line="288" w:lineRule="auto"/>
        <w:ind w:left="0"/>
        <w:jc w:val="left"/>
      </w:pPr>
      <w:r>
        <w:rPr>
          <w:rFonts w:eastAsia="等线" w:ascii="Arial" w:cs="Arial" w:hAnsi="Arial"/>
          <w:b w:val="true"/>
          <w:sz w:val="22"/>
        </w:rPr>
        <w:t>个人信息出境标准合同备案具体流程描述</w:t>
      </w:r>
    </w:p>
    <w:p>
      <w:pPr>
        <w:spacing w:before="120" w:after="120" w:line="288" w:lineRule="auto"/>
        <w:ind w:left="0"/>
        <w:jc w:val="left"/>
      </w:pPr>
      <w:r>
        <w:rPr>
          <w:rFonts w:eastAsia="等线" w:ascii="Arial" w:cs="Arial" w:hAnsi="Arial"/>
          <w:sz w:val="22"/>
        </w:rPr>
        <w:t>本流程依据《个人信息出境标准合同备案指南（第二版）》及《数据出境申报系统使用手册》制定，适用于通过订立标准合同方式向境外提供个人信息的备案活动。</w:t>
      </w:r>
    </w:p>
    <w:p>
      <w:pPr>
        <w:spacing w:before="120" w:after="120" w:line="288" w:lineRule="auto"/>
        <w:ind w:left="0"/>
        <w:jc w:val="left"/>
      </w:pPr>
      <w:r>
        <w:rPr>
          <w:rFonts w:eastAsia="等线" w:ascii="Arial" w:cs="Arial" w:hAnsi="Arial"/>
          <w:b w:val="true"/>
          <w:sz w:val="22"/>
        </w:rPr>
        <w:t>一、 流程启动前自查与前置义务履行</w:t>
      </w:r>
    </w:p>
    <w:p>
      <w:pPr>
        <w:numPr>
          <w:numId w:val="73"/>
        </w:numPr>
        <w:spacing w:before="120" w:after="120" w:line="288" w:lineRule="auto"/>
        <w:ind w:left="0"/>
        <w:jc w:val="left"/>
      </w:pPr>
      <w:r>
        <w:rPr>
          <w:rFonts w:eastAsia="等线" w:ascii="Arial" w:cs="Arial" w:hAnsi="Arial"/>
          <w:b w:val="true"/>
          <w:sz w:val="22"/>
        </w:rPr>
        <w:t>确认适用条件</w:t>
      </w:r>
      <w:r>
        <w:rPr>
          <w:rFonts w:eastAsia="等线" w:ascii="Arial" w:cs="Arial" w:hAnsi="Arial"/>
          <w:sz w:val="22"/>
        </w:rPr>
        <w:t>：个人信息处理者需确认自身同时满足以下所有条件，方可通过订立标准合同路径出境并需履行备案义务。</w:t>
      </w:r>
    </w:p>
    <w:p>
      <w:pPr>
        <w:numPr>
          <w:numId w:val="74"/>
        </w:numPr>
        <w:spacing w:before="120" w:after="120" w:line="288" w:lineRule="auto"/>
        <w:ind w:left="453"/>
        <w:jc w:val="left"/>
      </w:pPr>
      <w:r>
        <w:rPr>
          <w:rFonts w:eastAsia="等线" w:ascii="Arial" w:cs="Arial" w:hAnsi="Arial"/>
          <w:b w:val="true"/>
          <w:sz w:val="22"/>
        </w:rPr>
        <w:t>操作</w:t>
      </w:r>
      <w:r>
        <w:rPr>
          <w:rFonts w:eastAsia="等线" w:ascii="Arial" w:cs="Arial" w:hAnsi="Arial"/>
          <w:sz w:val="22"/>
        </w:rPr>
        <w:t>：自查确认（1）自身非关键信息基础设施运营者；（2）自当年1月1日起，累计拟向境外提供的个人信息数量为：10万人以上、不满100万人的个人信息（不含敏感个人信息），</w:t>
      </w:r>
      <w:r>
        <w:rPr>
          <w:rFonts w:eastAsia="等线" w:ascii="Arial" w:cs="Arial" w:hAnsi="Arial"/>
          <w:b w:val="true"/>
          <w:sz w:val="22"/>
        </w:rPr>
        <w:t>或者</w:t>
      </w:r>
      <w:r>
        <w:rPr>
          <w:rFonts w:eastAsia="等线" w:ascii="Arial" w:cs="Arial" w:hAnsi="Arial"/>
          <w:sz w:val="22"/>
        </w:rPr>
        <w:t>不满1万人的敏感个人信息。拟出境数据中不得包含重要数据。</w:t>
      </w:r>
    </w:p>
    <w:p>
      <w:pPr>
        <w:numPr>
          <w:numId w:val="75"/>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：《个人信息出境标准合同备案指南（第二版）》第一（一）条。</w:t>
      </w:r>
    </w:p>
    <w:p>
      <w:pPr>
        <w:numPr>
          <w:numId w:val="76"/>
        </w:numPr>
        <w:spacing w:before="120" w:after="120" w:line="288" w:lineRule="auto"/>
        <w:ind w:left="453"/>
        <w:jc w:val="left"/>
      </w:pPr>
      <w:r>
        <w:rPr>
          <w:rFonts w:eastAsia="等线" w:ascii="Arial" w:cs="Arial" w:hAnsi="Arial"/>
          <w:b w:val="true"/>
          <w:sz w:val="22"/>
        </w:rPr>
        <w:t>禁止行为</w:t>
      </w:r>
      <w:r>
        <w:rPr>
          <w:rFonts w:eastAsia="等线" w:ascii="Arial" w:cs="Arial" w:hAnsi="Arial"/>
          <w:sz w:val="22"/>
        </w:rPr>
        <w:t>：不得通过拆分数量等方式，将本应通过安全评估的数据转为订立标准合同。</w:t>
      </w:r>
    </w:p>
    <w:p>
      <w:pPr>
        <w:numPr>
          <w:numId w:val="77"/>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：《个人信息出境标准合同备案指南（第二版）》第一（一）条。</w:t>
      </w:r>
    </w:p>
    <w:p>
      <w:pPr>
        <w:numPr>
          <w:numId w:val="78"/>
        </w:numPr>
        <w:spacing w:before="120" w:after="120" w:line="288" w:lineRule="auto"/>
        <w:ind w:left="453"/>
        <w:jc w:val="left"/>
      </w:pPr>
      <w:r>
        <w:rPr>
          <w:rFonts w:eastAsia="等线" w:ascii="Arial" w:cs="Arial" w:hAnsi="Arial"/>
          <w:b w:val="true"/>
          <w:sz w:val="22"/>
        </w:rPr>
        <w:t>豁免情形</w:t>
      </w:r>
      <w:r>
        <w:rPr>
          <w:rFonts w:eastAsia="等线" w:ascii="Arial" w:cs="Arial" w:hAnsi="Arial"/>
          <w:sz w:val="22"/>
        </w:rPr>
        <w:t>：若出境活动属于《促进和规范数据跨境流动规定》第三条、第四条、第五条、第六条规定的情形（如为订立合同所必需、实施跨境人力资源管理、符合自贸区负面清单等），则无需备案。</w:t>
      </w:r>
    </w:p>
    <w:p>
      <w:pPr>
        <w:numPr>
          <w:numId w:val="79"/>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：《个人信息出境标准合同备案指南（第二版）》第一（一）条。</w:t>
      </w:r>
    </w:p>
    <w:p>
      <w:pPr>
        <w:numPr>
          <w:numId w:val="80"/>
        </w:numPr>
        <w:spacing w:before="120" w:after="120" w:line="288" w:lineRule="auto"/>
        <w:ind w:left="0"/>
        <w:jc w:val="left"/>
      </w:pPr>
      <w:r>
        <w:rPr>
          <w:rFonts w:eastAsia="等线" w:ascii="Arial" w:cs="Arial" w:hAnsi="Arial"/>
          <w:b w:val="true"/>
          <w:sz w:val="22"/>
        </w:rPr>
        <w:t>履行法定义务</w:t>
      </w:r>
      <w:r>
        <w:rPr>
          <w:rFonts w:eastAsia="等线" w:ascii="Arial" w:cs="Arial" w:hAnsi="Arial"/>
          <w:sz w:val="22"/>
        </w:rPr>
        <w:t>：在申请备案前，必须依法完成以下工作。</w:t>
      </w:r>
    </w:p>
    <w:p>
      <w:pPr>
        <w:numPr>
          <w:numId w:val="81"/>
        </w:numPr>
        <w:spacing w:before="120" w:after="120" w:line="288" w:lineRule="auto"/>
        <w:ind w:left="453"/>
        <w:jc w:val="left"/>
      </w:pPr>
      <w:r>
        <w:rPr>
          <w:rFonts w:eastAsia="等线" w:ascii="Arial" w:cs="Arial" w:hAnsi="Arial"/>
          <w:b w:val="true"/>
          <w:sz w:val="22"/>
        </w:rPr>
        <w:t>操作</w:t>
      </w:r>
      <w:r>
        <w:rPr>
          <w:rFonts w:eastAsia="等线" w:ascii="Arial" w:cs="Arial" w:hAnsi="Arial"/>
          <w:sz w:val="22"/>
        </w:rPr>
        <w:t>：（1）向个人信息主体履行告知义务；（2）取得个人单独同意；（3）完成个人信息保护影响评估。</w:t>
      </w:r>
    </w:p>
    <w:p>
      <w:pPr>
        <w:numPr>
          <w:numId w:val="82"/>
        </w:numPr>
        <w:spacing w:before="120" w:after="120" w:line="288" w:lineRule="auto"/>
        <w:ind w:left="453"/>
        <w:jc w:val="left"/>
      </w:pPr>
      <w:r>
        <w:rPr>
          <w:rFonts w:eastAsia="等线" w:ascii="Arial" w:cs="Arial" w:hAnsi="Arial"/>
          <w:b w:val="true"/>
          <w:sz w:val="22"/>
        </w:rPr>
        <w:t>评估内容</w:t>
      </w:r>
      <w:r>
        <w:rPr>
          <w:rFonts w:eastAsia="等线" w:ascii="Arial" w:cs="Arial" w:hAnsi="Arial"/>
          <w:sz w:val="22"/>
        </w:rPr>
        <w:t>：评估必须涵盖出境目的、范围、方式的合法性、正当性、必要性；出境信息的规模、种类、敏感程度及可能风险；境外接收方的义务承诺与保障能力；出境后数据安全风险及维权渠道；接收方所在国家或地区的法律政策影响等事项。</w:t>
      </w:r>
    </w:p>
    <w:p>
      <w:pPr>
        <w:numPr>
          <w:numId w:val="83"/>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：《个人信息出境标准合同办法》第五条。</w:t>
      </w:r>
    </w:p>
    <w:p>
      <w:pPr>
        <w:spacing w:before="120" w:after="120" w:line="288" w:lineRule="auto"/>
        <w:ind w:left="0"/>
        <w:jc w:val="left"/>
      </w:pPr>
      <w:r>
        <w:rPr>
          <w:rFonts w:eastAsia="等线" w:ascii="Arial" w:cs="Arial" w:hAnsi="Arial"/>
          <w:b w:val="true"/>
          <w:sz w:val="22"/>
        </w:rPr>
        <w:t>二、 系统准备与登录</w:t>
      </w:r>
    </w:p>
    <w:p>
      <w:pPr>
        <w:numPr>
          <w:numId w:val="84"/>
        </w:numPr>
        <w:spacing w:before="120" w:after="120" w:line="288" w:lineRule="auto"/>
        <w:ind w:left="0"/>
        <w:jc w:val="left"/>
      </w:pPr>
      <w:r>
        <w:rPr>
          <w:rFonts w:eastAsia="等线" w:ascii="Arial" w:cs="Arial" w:hAnsi="Arial"/>
          <w:b w:val="true"/>
          <w:sz w:val="22"/>
        </w:rPr>
        <w:t>访问系统</w:t>
      </w:r>
      <w:r>
        <w:rPr>
          <w:rFonts w:eastAsia="等线" w:ascii="Arial" w:cs="Arial" w:hAnsi="Arial"/>
          <w:sz w:val="22"/>
        </w:rPr>
        <w:t>：通过中国网信网（</w:t>
      </w:r>
      <w:hyperlink r:id="rId6">
        <w:r>
          <w:rPr>
            <w:rFonts w:eastAsia="等线" w:ascii="Arial" w:cs="Arial" w:hAnsi="Arial"/>
            <w:color w:val="3370ff"/>
            <w:sz w:val="22"/>
          </w:rPr>
          <w:t>http://www.cac.gov.cn</w:t>
        </w:r>
      </w:hyperlink>
      <w:r>
        <w:rPr>
          <w:rFonts w:eastAsia="等线" w:ascii="Arial" w:cs="Arial" w:hAnsi="Arial"/>
          <w:sz w:val="22"/>
        </w:rPr>
        <w:t>）首页“互动服务”栏目，点击“数据出境申报系统”进入系统主页。</w:t>
      </w:r>
    </w:p>
    <w:p>
      <w:pPr>
        <w:numPr>
          <w:numId w:val="85"/>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：《数据出境申报系统使用手册》第三部分“注册流程”第1点。</w:t>
      </w:r>
    </w:p>
    <w:p>
      <w:pPr>
        <w:numPr>
          <w:numId w:val="86"/>
        </w:numPr>
        <w:spacing w:before="120" w:after="120" w:line="288" w:lineRule="auto"/>
        <w:ind w:left="0"/>
        <w:jc w:val="left"/>
      </w:pPr>
      <w:r>
        <w:rPr>
          <w:rFonts w:eastAsia="等线" w:ascii="Arial" w:cs="Arial" w:hAnsi="Arial"/>
          <w:b w:val="true"/>
          <w:sz w:val="22"/>
        </w:rPr>
        <w:t>注册账户</w:t>
      </w:r>
      <w:r>
        <w:rPr>
          <w:rFonts w:eastAsia="等线" w:ascii="Arial" w:cs="Arial" w:hAnsi="Arial"/>
          <w:sz w:val="22"/>
        </w:rPr>
        <w:t>：点击“注册账户”，设置用户名（4-14位数字字母组合）、密码（6-12位含数字、字母、特殊字符，强度中等以上），并绑定可接收短信的手机号。</w:t>
      </w:r>
    </w:p>
    <w:p>
      <w:pPr>
        <w:numPr>
          <w:numId w:val="87"/>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：《数据出境申报系统使用手册》第三部分“注册流程”第2点。</w:t>
      </w:r>
    </w:p>
    <w:p>
      <w:pPr>
        <w:numPr>
          <w:numId w:val="88"/>
        </w:numPr>
        <w:spacing w:before="120" w:after="120" w:line="288" w:lineRule="auto"/>
        <w:ind w:left="0"/>
        <w:jc w:val="left"/>
      </w:pPr>
      <w:r>
        <w:rPr>
          <w:rFonts w:eastAsia="等线" w:ascii="Arial" w:cs="Arial" w:hAnsi="Arial"/>
          <w:b w:val="true"/>
          <w:sz w:val="22"/>
        </w:rPr>
        <w:t>登录系统</w:t>
      </w:r>
      <w:r>
        <w:rPr>
          <w:rFonts w:eastAsia="等线" w:ascii="Arial" w:cs="Arial" w:hAnsi="Arial"/>
          <w:sz w:val="22"/>
        </w:rPr>
        <w:t>：输入用户名、密码及验证码，点击“登录”。</w:t>
      </w:r>
    </w:p>
    <w:p>
      <w:pPr>
        <w:numPr>
          <w:numId w:val="89"/>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：《数据出境申报系统使用手册》第三部分“注册流程”第3点。</w:t>
      </w:r>
    </w:p>
    <w:p>
      <w:pPr>
        <w:numPr>
          <w:numId w:val="90"/>
        </w:numPr>
        <w:spacing w:before="120" w:after="120" w:line="288" w:lineRule="auto"/>
        <w:ind w:left="0"/>
        <w:jc w:val="left"/>
      </w:pPr>
      <w:r>
        <w:rPr>
          <w:rFonts w:eastAsia="等线" w:ascii="Arial" w:cs="Arial" w:hAnsi="Arial"/>
          <w:b w:val="true"/>
          <w:sz w:val="22"/>
        </w:rPr>
        <w:t>信息录入</w:t>
      </w:r>
      <w:r>
        <w:rPr>
          <w:rFonts w:eastAsia="等线" w:ascii="Arial" w:cs="Arial" w:hAnsi="Arial"/>
          <w:sz w:val="22"/>
        </w:rPr>
        <w:t>：登录后，在“个人中心”-&gt;“信息修改”中，如实填写并保存“数据处理者情况”（单位名称、统一社会信用代码、所在省份）、“法定代表人信息”、“系统注册人信息”。系统注册人电话将用于接收所有流程短信通知。</w:t>
      </w:r>
    </w:p>
    <w:p>
      <w:pPr>
        <w:numPr>
          <w:numId w:val="91"/>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：《数据出境申报系统使用手册》第三部分“注册流程”第4点。</w:t>
      </w:r>
    </w:p>
    <w:p>
      <w:pPr>
        <w:spacing w:before="120" w:after="120" w:line="288" w:lineRule="auto"/>
        <w:ind w:left="0"/>
        <w:jc w:val="left"/>
      </w:pPr>
      <w:r>
        <w:rPr>
          <w:rFonts w:eastAsia="等线" w:ascii="Arial" w:cs="Arial" w:hAnsi="Arial"/>
          <w:b w:val="true"/>
          <w:sz w:val="22"/>
        </w:rPr>
        <w:t>三、 在线提交备案材料</w:t>
      </w:r>
    </w:p>
    <w:p>
      <w:pPr>
        <w:numPr>
          <w:numId w:val="92"/>
        </w:numPr>
        <w:spacing w:before="120" w:after="120" w:line="288" w:lineRule="auto"/>
        <w:ind w:left="0"/>
        <w:jc w:val="left"/>
      </w:pPr>
      <w:r>
        <w:rPr>
          <w:rFonts w:eastAsia="等线" w:ascii="Arial" w:cs="Arial" w:hAnsi="Arial"/>
          <w:b w:val="true"/>
          <w:sz w:val="22"/>
        </w:rPr>
        <w:t>进入备案模块</w:t>
      </w:r>
      <w:r>
        <w:rPr>
          <w:rFonts w:eastAsia="等线" w:ascii="Arial" w:cs="Arial" w:hAnsi="Arial"/>
          <w:sz w:val="22"/>
        </w:rPr>
        <w:t>：在系统首页选择“个人信息出境标准合同备案”业务。</w:t>
      </w:r>
    </w:p>
    <w:p>
      <w:pPr>
        <w:numPr>
          <w:numId w:val="93"/>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：《数据出境申报系统使用手册》第四部分“个人信息出境标准合同备案申报流程”。</w:t>
      </w:r>
    </w:p>
    <w:p>
      <w:pPr>
        <w:numPr>
          <w:numId w:val="94"/>
        </w:numPr>
        <w:spacing w:before="120" w:after="120" w:line="288" w:lineRule="auto"/>
        <w:ind w:left="0"/>
        <w:jc w:val="left"/>
      </w:pPr>
      <w:r>
        <w:rPr>
          <w:rFonts w:eastAsia="等线" w:ascii="Arial" w:cs="Arial" w:hAnsi="Arial"/>
          <w:b w:val="true"/>
          <w:sz w:val="22"/>
        </w:rPr>
        <w:t>确认适用情形</w:t>
      </w:r>
      <w:r>
        <w:rPr>
          <w:rFonts w:eastAsia="等线" w:ascii="Arial" w:cs="Arial" w:hAnsi="Arial"/>
          <w:sz w:val="22"/>
        </w:rPr>
        <w:t>：系统会提示用户确认是否符合备案条件，满足要求方可进入下一步。</w:t>
      </w:r>
    </w:p>
    <w:p>
      <w:pPr>
        <w:numPr>
          <w:numId w:val="95"/>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：《数据出境申报系统使用手册》第四部分第1点（逐项上传方式描述）。</w:t>
      </w:r>
    </w:p>
    <w:p>
      <w:pPr>
        <w:numPr>
          <w:numId w:val="96"/>
        </w:numPr>
        <w:spacing w:before="120" w:after="120" w:line="288" w:lineRule="auto"/>
        <w:ind w:left="0"/>
        <w:jc w:val="left"/>
      </w:pPr>
      <w:r>
        <w:rPr>
          <w:rFonts w:eastAsia="等线" w:ascii="Arial" w:cs="Arial" w:hAnsi="Arial"/>
          <w:b w:val="true"/>
          <w:sz w:val="22"/>
        </w:rPr>
        <w:t>选择上传方式并提交材料</w:t>
      </w:r>
      <w:r>
        <w:rPr>
          <w:rFonts w:eastAsia="等线" w:ascii="Arial" w:cs="Arial" w:hAnsi="Arial"/>
          <w:sz w:val="22"/>
        </w:rPr>
        <w:t>：系统支持“批量上传”和“逐项上传”两种方式，用户任选其一。</w:t>
      </w:r>
    </w:p>
    <w:p>
      <w:pPr>
        <w:numPr>
          <w:numId w:val="97"/>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：《数据出境申报系统使用手册》第四部分第1点。</w:t>
      </w:r>
    </w:p>
    <w:p>
      <w:pPr>
        <w:numPr>
          <w:numId w:val="98"/>
        </w:numPr>
        <w:spacing w:before="120" w:after="120" w:line="288" w:lineRule="auto"/>
        <w:ind w:left="453"/>
        <w:jc w:val="left"/>
      </w:pPr>
      <w:r>
        <w:rPr>
          <w:rFonts w:eastAsia="等线" w:ascii="Arial" w:cs="Arial" w:hAnsi="Arial"/>
          <w:b w:val="true"/>
          <w:sz w:val="22"/>
        </w:rPr>
        <w:t>方式A：批量上传</w:t>
      </w:r>
    </w:p>
    <w:p>
      <w:pPr>
        <w:numPr>
          <w:numId w:val="99"/>
        </w:numPr>
        <w:spacing w:before="120" w:after="120" w:line="288" w:lineRule="auto"/>
        <w:ind w:left="907"/>
        <w:jc w:val="left"/>
      </w:pPr>
      <w:r>
        <w:rPr>
          <w:rFonts w:eastAsia="等线" w:ascii="Arial" w:cs="Arial" w:hAnsi="Arial"/>
          <w:b w:val="true"/>
          <w:sz w:val="22"/>
        </w:rPr>
        <w:t>操作</w:t>
      </w:r>
      <w:r>
        <w:rPr>
          <w:rFonts w:eastAsia="等线" w:ascii="Arial" w:cs="Arial" w:hAnsi="Arial"/>
          <w:sz w:val="22"/>
        </w:rPr>
        <w:t>：</w:t>
      </w:r>
    </w:p>
    <w:p>
      <w:pPr>
        <w:numPr>
          <w:numId w:val="100"/>
        </w:numPr>
        <w:spacing w:before="120" w:after="120" w:line="288" w:lineRule="auto"/>
        <w:ind w:left="1360"/>
        <w:jc w:val="left"/>
      </w:pPr>
      <w:r>
        <w:rPr>
          <w:rFonts w:eastAsia="等线" w:ascii="Arial" w:cs="Arial" w:hAnsi="Arial"/>
          <w:sz w:val="22"/>
        </w:rPr>
        <w:t>点击“批量模板下载”，将全套材料模板压缩包保存至本地。</w:t>
      </w:r>
    </w:p>
    <w:p>
      <w:pPr>
        <w:numPr>
          <w:numId w:val="101"/>
        </w:numPr>
        <w:spacing w:before="120" w:after="120" w:line="288" w:lineRule="auto"/>
        <w:ind w:left="1360"/>
        <w:jc w:val="left"/>
      </w:pPr>
      <w:r>
        <w:rPr>
          <w:rFonts w:eastAsia="等线" w:ascii="Arial" w:cs="Arial" w:hAnsi="Arial"/>
          <w:sz w:val="22"/>
        </w:rPr>
        <w:t>线下按模板组织好所有备案材料后，压缩为一个ZIP包。</w:t>
      </w:r>
    </w:p>
    <w:p>
      <w:pPr>
        <w:numPr>
          <w:numId w:val="102"/>
        </w:numPr>
        <w:spacing w:before="120" w:after="120" w:line="288" w:lineRule="auto"/>
        <w:ind w:left="1360"/>
        <w:jc w:val="left"/>
      </w:pPr>
      <w:r>
        <w:rPr>
          <w:rFonts w:eastAsia="等线" w:ascii="Arial" w:cs="Arial" w:hAnsi="Arial"/>
          <w:sz w:val="22"/>
        </w:rPr>
        <w:t>点击“批量上传”按钮，上传该ZIP压缩包。系统将以“暂存”状态展示材料，用户可预览或提交。</w:t>
      </w:r>
    </w:p>
    <w:p>
      <w:pPr>
        <w:numPr>
          <w:numId w:val="103"/>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：《数据出境申报系统使用手册》第四部分第1点（1）。</w:t>
      </w:r>
    </w:p>
    <w:p>
      <w:pPr>
        <w:numPr>
          <w:numId w:val="104"/>
        </w:numPr>
        <w:spacing w:before="120" w:after="120" w:line="288" w:lineRule="auto"/>
        <w:ind w:left="453"/>
        <w:jc w:val="left"/>
      </w:pPr>
      <w:r>
        <w:rPr>
          <w:rFonts w:eastAsia="等线" w:ascii="Arial" w:cs="Arial" w:hAnsi="Arial"/>
          <w:b w:val="true"/>
          <w:sz w:val="22"/>
        </w:rPr>
        <w:t>方式B：逐项上传（向导式填写）</w:t>
      </w:r>
    </w:p>
    <w:p>
      <w:pPr>
        <w:numPr>
          <w:numId w:val="105"/>
        </w:numPr>
        <w:spacing w:before="120" w:after="120" w:line="288" w:lineRule="auto"/>
        <w:ind w:left="907"/>
        <w:jc w:val="left"/>
      </w:pPr>
      <w:r>
        <w:rPr>
          <w:rFonts w:eastAsia="等线" w:ascii="Arial" w:cs="Arial" w:hAnsi="Arial"/>
          <w:b w:val="true"/>
          <w:sz w:val="22"/>
        </w:rPr>
        <w:t>操作</w:t>
      </w:r>
      <w:r>
        <w:rPr>
          <w:rFonts w:eastAsia="等线" w:ascii="Arial" w:cs="Arial" w:hAnsi="Arial"/>
          <w:sz w:val="22"/>
        </w:rPr>
        <w:t>：点击“新增备案”，进入向导页面，按顺序填写并上传以下材料（标*号为必填项）：</w:t>
      </w:r>
    </w:p>
    <w:p>
      <w:pPr>
        <w:numPr>
          <w:numId w:val="106"/>
        </w:numPr>
        <w:spacing w:before="120" w:after="120" w:line="288" w:lineRule="auto"/>
        <w:ind w:left="1360"/>
        <w:jc w:val="left"/>
      </w:pPr>
      <w:r>
        <w:rPr>
          <w:rFonts w:eastAsia="等线" w:ascii="Arial" w:cs="Arial" w:hAnsi="Arial"/>
          <w:b w:val="true"/>
          <w:sz w:val="22"/>
        </w:rPr>
        <w:t>个人信息处理者基本情况</w:t>
      </w:r>
      <w:r>
        <w:rPr>
          <w:rFonts w:eastAsia="等线" w:ascii="Arial" w:cs="Arial" w:hAnsi="Arial"/>
          <w:sz w:val="22"/>
        </w:rPr>
        <w:t>：如实填写。</w:t>
      </w:r>
    </w:p>
    <w:p>
      <w:pPr>
        <w:numPr>
          <w:numId w:val="107"/>
        </w:numPr>
        <w:spacing w:before="120" w:after="120" w:line="288" w:lineRule="auto"/>
        <w:ind w:left="1360"/>
        <w:jc w:val="left"/>
      </w:pPr>
      <w:r>
        <w:rPr>
          <w:rFonts w:eastAsia="等线" w:ascii="Arial" w:cs="Arial" w:hAnsi="Arial"/>
          <w:b w:val="true"/>
          <w:sz w:val="22"/>
        </w:rPr>
        <w:t>法定代表人信息</w:t>
      </w:r>
      <w:r>
        <w:rPr>
          <w:rFonts w:eastAsia="等线" w:ascii="Arial" w:cs="Arial" w:hAnsi="Arial"/>
          <w:sz w:val="22"/>
        </w:rPr>
        <w:t>：如实填写。若为非法人实体或个人，勾选“无法定代表人”。</w:t>
      </w:r>
    </w:p>
    <w:p>
      <w:pPr>
        <w:numPr>
          <w:numId w:val="108"/>
        </w:numPr>
        <w:spacing w:before="120" w:after="120" w:line="288" w:lineRule="auto"/>
        <w:ind w:left="1360"/>
        <w:jc w:val="left"/>
      </w:pPr>
      <w:r>
        <w:rPr>
          <w:rFonts w:eastAsia="等线" w:ascii="Arial" w:cs="Arial" w:hAnsi="Arial"/>
          <w:b w:val="true"/>
          <w:sz w:val="22"/>
        </w:rPr>
        <w:t>经办人信息</w:t>
      </w:r>
      <w:r>
        <w:rPr>
          <w:rFonts w:eastAsia="等线" w:ascii="Arial" w:cs="Arial" w:hAnsi="Arial"/>
          <w:sz w:val="22"/>
        </w:rPr>
        <w:t>：如实填写。</w:t>
      </w:r>
    </w:p>
    <w:p>
      <w:pPr>
        <w:numPr>
          <w:numId w:val="109"/>
        </w:numPr>
        <w:spacing w:before="120" w:after="120" w:line="288" w:lineRule="auto"/>
        <w:ind w:left="1360"/>
        <w:jc w:val="left"/>
      </w:pPr>
      <w:r>
        <w:rPr>
          <w:rFonts w:eastAsia="等线" w:ascii="Arial" w:cs="Arial" w:hAnsi="Arial"/>
          <w:b w:val="true"/>
          <w:sz w:val="22"/>
        </w:rPr>
        <w:t>承诺书</w:t>
      </w:r>
      <w:r>
        <w:rPr>
          <w:rFonts w:eastAsia="等线" w:ascii="Arial" w:cs="Arial" w:hAnsi="Arial"/>
          <w:sz w:val="22"/>
        </w:rPr>
        <w:t>：上传已签署盖章的《承诺书》（模板见指南附件3）。</w:t>
      </w:r>
    </w:p>
    <w:p>
      <w:pPr>
        <w:numPr>
          <w:numId w:val="110"/>
        </w:numPr>
        <w:spacing w:before="120" w:after="120" w:line="288" w:lineRule="auto"/>
        <w:ind w:left="1360"/>
        <w:jc w:val="left"/>
      </w:pPr>
      <w:r>
        <w:rPr>
          <w:rFonts w:eastAsia="等线" w:ascii="Arial" w:cs="Arial" w:hAnsi="Arial"/>
          <w:b w:val="true"/>
          <w:sz w:val="22"/>
        </w:rPr>
        <w:t>个人信息出境场景</w:t>
      </w:r>
      <w:r>
        <w:rPr>
          <w:rFonts w:eastAsia="等线" w:ascii="Arial" w:cs="Arial" w:hAnsi="Arial"/>
          <w:sz w:val="22"/>
        </w:rPr>
        <w:t>：可添加多个场景，如实填写。</w:t>
      </w:r>
    </w:p>
    <w:p>
      <w:pPr>
        <w:numPr>
          <w:numId w:val="111"/>
        </w:numPr>
        <w:spacing w:before="120" w:after="120" w:line="288" w:lineRule="auto"/>
        <w:ind w:left="1360"/>
        <w:jc w:val="left"/>
      </w:pPr>
      <w:r>
        <w:rPr>
          <w:rFonts w:eastAsia="等线" w:ascii="Arial" w:cs="Arial" w:hAnsi="Arial"/>
          <w:b w:val="true"/>
          <w:sz w:val="22"/>
        </w:rPr>
        <w:t>个人信息出境标准合同</w:t>
      </w:r>
      <w:r>
        <w:rPr>
          <w:rFonts w:eastAsia="等线" w:ascii="Arial" w:cs="Arial" w:hAnsi="Arial"/>
          <w:sz w:val="22"/>
        </w:rPr>
        <w:t>：上传已签署的《标准合同》（范本见指南附件4）。</w:t>
      </w:r>
    </w:p>
    <w:p>
      <w:pPr>
        <w:numPr>
          <w:numId w:val="112"/>
        </w:numPr>
        <w:spacing w:before="120" w:after="120" w:line="288" w:lineRule="auto"/>
        <w:ind w:left="1360"/>
        <w:jc w:val="left"/>
      </w:pPr>
      <w:r>
        <w:rPr>
          <w:rFonts w:eastAsia="等线" w:ascii="Arial" w:cs="Arial" w:hAnsi="Arial"/>
          <w:b w:val="true"/>
          <w:sz w:val="22"/>
        </w:rPr>
        <w:t>个人信息保护影响评估报告</w:t>
      </w:r>
      <w:r>
        <w:rPr>
          <w:rFonts w:eastAsia="等线" w:ascii="Arial" w:cs="Arial" w:hAnsi="Arial"/>
          <w:sz w:val="22"/>
        </w:rPr>
        <w:t>：上传已完成的《报告》（模板见指南附件5），报告需使用中文撰写。</w:t>
      </w:r>
    </w:p>
    <w:p>
      <w:pPr>
        <w:numPr>
          <w:numId w:val="113"/>
        </w:numPr>
        <w:spacing w:before="120" w:after="120" w:line="288" w:lineRule="auto"/>
        <w:ind w:left="1360"/>
        <w:jc w:val="left"/>
      </w:pPr>
      <w:r>
        <w:rPr>
          <w:rFonts w:eastAsia="等线" w:ascii="Arial" w:cs="Arial" w:hAnsi="Arial"/>
          <w:b w:val="true"/>
          <w:sz w:val="22"/>
        </w:rPr>
        <w:t>其他相关证明材料</w:t>
      </w:r>
      <w:r>
        <w:rPr>
          <w:rFonts w:eastAsia="等线" w:ascii="Arial" w:cs="Arial" w:hAnsi="Arial"/>
          <w:sz w:val="22"/>
        </w:rPr>
        <w:t>：包括《经办人授权委托书》（模板见指南附件2）及其他必要材料。</w:t>
      </w:r>
    </w:p>
    <w:p>
      <w:pPr>
        <w:numPr>
          <w:numId w:val="114"/>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：《数据出境申报系统使用手册》第四部分第1点（2）；《个人信息出境标准合同备案指南（第二版）》第三（一）条及附件1。</w:t>
      </w:r>
    </w:p>
    <w:p>
      <w:pPr>
        <w:numPr>
          <w:numId w:val="115"/>
        </w:numPr>
        <w:spacing w:before="120" w:after="120" w:line="288" w:lineRule="auto"/>
        <w:ind w:left="453"/>
        <w:jc w:val="left"/>
      </w:pPr>
      <w:r>
        <w:rPr>
          <w:rFonts w:eastAsia="等线" w:ascii="Arial" w:cs="Arial" w:hAnsi="Arial"/>
          <w:b w:val="true"/>
          <w:sz w:val="22"/>
        </w:rPr>
        <w:t>共同要求</w:t>
      </w:r>
      <w:r>
        <w:rPr>
          <w:rFonts w:eastAsia="等线" w:ascii="Arial" w:cs="Arial" w:hAnsi="Arial"/>
          <w:sz w:val="22"/>
        </w:rPr>
        <w:t>：所有材料中，统一社会信用代码证件、法定代表人身份证件、经办人身份证件的影印件均需加盖公章。</w:t>
      </w:r>
    </w:p>
    <w:p>
      <w:pPr>
        <w:numPr>
          <w:numId w:val="116"/>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：《个人信息出境标准合同备案指南（第二版）》附件1。</w:t>
      </w:r>
    </w:p>
    <w:p>
      <w:pPr>
        <w:numPr>
          <w:numId w:val="117"/>
        </w:numPr>
        <w:spacing w:before="120" w:after="120" w:line="288" w:lineRule="auto"/>
        <w:ind w:left="0"/>
        <w:jc w:val="left"/>
      </w:pPr>
      <w:r>
        <w:rPr>
          <w:rFonts w:eastAsia="等线" w:ascii="Arial" w:cs="Arial" w:hAnsi="Arial"/>
          <w:b w:val="true"/>
          <w:sz w:val="22"/>
        </w:rPr>
        <w:t>正式提交备案</w:t>
      </w:r>
      <w:r>
        <w:rPr>
          <w:rFonts w:eastAsia="等线" w:ascii="Arial" w:cs="Arial" w:hAnsi="Arial"/>
          <w:sz w:val="22"/>
        </w:rPr>
        <w:t>：材料填写或上传完毕后，通过操作列“预览”确认无误，点击“提交备案”按钮正式提交。</w:t>
      </w:r>
    </w:p>
    <w:p>
      <w:pPr>
        <w:numPr>
          <w:numId w:val="118"/>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：《数据出境申报系统使用手册》第四部分第2点。</w:t>
      </w:r>
    </w:p>
    <w:p>
      <w:pPr>
        <w:spacing w:before="120" w:after="120" w:line="288" w:lineRule="auto"/>
        <w:ind w:left="0"/>
        <w:jc w:val="left"/>
      </w:pPr>
      <w:r>
        <w:rPr>
          <w:rFonts w:eastAsia="等线" w:ascii="Arial" w:cs="Arial" w:hAnsi="Arial"/>
          <w:b w:val="true"/>
          <w:sz w:val="22"/>
        </w:rPr>
        <w:t>四、 监管部门材料查验与结果反馈</w:t>
      </w:r>
    </w:p>
    <w:p>
      <w:pPr>
        <w:numPr>
          <w:numId w:val="119"/>
        </w:numPr>
        <w:spacing w:before="120" w:after="120" w:line="288" w:lineRule="auto"/>
        <w:ind w:left="0"/>
        <w:jc w:val="left"/>
      </w:pPr>
      <w:r>
        <w:rPr>
          <w:rFonts w:eastAsia="等线" w:ascii="Arial" w:cs="Arial" w:hAnsi="Arial"/>
          <w:b w:val="true"/>
          <w:sz w:val="22"/>
        </w:rPr>
        <w:t>材料查验</w:t>
      </w:r>
      <w:r>
        <w:rPr>
          <w:rFonts w:eastAsia="等线" w:ascii="Arial" w:cs="Arial" w:hAnsi="Arial"/>
          <w:sz w:val="22"/>
        </w:rPr>
        <w:t>：省级网信部门自收到备案材料之日起</w:t>
      </w:r>
      <w:r>
        <w:rPr>
          <w:rFonts w:eastAsia="等线" w:ascii="Arial" w:cs="Arial" w:hAnsi="Arial"/>
          <w:b w:val="true"/>
          <w:sz w:val="22"/>
        </w:rPr>
        <w:t>15个工作日内</w:t>
      </w:r>
      <w:r>
        <w:rPr>
          <w:rFonts w:eastAsia="等线" w:ascii="Arial" w:cs="Arial" w:hAnsi="Arial"/>
          <w:sz w:val="22"/>
        </w:rPr>
        <w:t>完成材料查验。</w:t>
      </w:r>
    </w:p>
    <w:p>
      <w:pPr>
        <w:numPr>
          <w:numId w:val="120"/>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：《个人信息出境标准合同备案指南（第二版）》第三（二）条。</w:t>
      </w:r>
    </w:p>
    <w:p>
      <w:pPr>
        <w:numPr>
          <w:numId w:val="121"/>
        </w:numPr>
        <w:spacing w:before="120" w:after="120" w:line="288" w:lineRule="auto"/>
        <w:ind w:left="0"/>
        <w:jc w:val="left"/>
      </w:pPr>
      <w:r>
        <w:rPr>
          <w:rFonts w:eastAsia="等线" w:ascii="Arial" w:cs="Arial" w:hAnsi="Arial"/>
          <w:b w:val="true"/>
          <w:sz w:val="22"/>
        </w:rPr>
        <w:t>反馈结果</w:t>
      </w:r>
      <w:r>
        <w:rPr>
          <w:rFonts w:eastAsia="等线" w:ascii="Arial" w:cs="Arial" w:hAnsi="Arial"/>
          <w:sz w:val="22"/>
        </w:rPr>
        <w:t>：</w:t>
      </w:r>
    </w:p>
    <w:p>
      <w:pPr>
        <w:numPr>
          <w:numId w:val="122"/>
        </w:numPr>
        <w:spacing w:before="120" w:after="120" w:line="288" w:lineRule="auto"/>
        <w:ind w:left="453"/>
        <w:jc w:val="left"/>
      </w:pPr>
      <w:r>
        <w:rPr>
          <w:rFonts w:eastAsia="等线" w:ascii="Arial" w:cs="Arial" w:hAnsi="Arial"/>
          <w:b w:val="true"/>
          <w:sz w:val="22"/>
        </w:rPr>
        <w:t>通过</w:t>
      </w:r>
      <w:r>
        <w:rPr>
          <w:rFonts w:eastAsia="等线" w:ascii="Arial" w:cs="Arial" w:hAnsi="Arial"/>
          <w:sz w:val="22"/>
        </w:rPr>
        <w:t>：对符合备案要求的，省级网信部门发放备案编号。结果会通过系统及短信通知注册手机号。用户可在系统中“查看”备案结果通知书。</w:t>
      </w:r>
    </w:p>
    <w:p>
      <w:pPr>
        <w:numPr>
          <w:numId w:val="123"/>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：《个人信息出境标准合同备案指南（第二版）》第三（二）条；《数据出境申报系统使用手册》第四部分第3点。</w:t>
      </w:r>
    </w:p>
    <w:p>
      <w:pPr>
        <w:numPr>
          <w:numId w:val="124"/>
        </w:numPr>
        <w:spacing w:before="120" w:after="120" w:line="288" w:lineRule="auto"/>
        <w:ind w:left="453"/>
        <w:jc w:val="left"/>
      </w:pPr>
      <w:r>
        <w:rPr>
          <w:rFonts w:eastAsia="等线" w:ascii="Arial" w:cs="Arial" w:hAnsi="Arial"/>
          <w:b w:val="true"/>
          <w:sz w:val="22"/>
        </w:rPr>
        <w:t>需补充</w:t>
      </w:r>
      <w:r>
        <w:rPr>
          <w:rFonts w:eastAsia="等线" w:ascii="Arial" w:cs="Arial" w:hAnsi="Arial"/>
          <w:sz w:val="22"/>
        </w:rPr>
        <w:t>：需要补充完善材料的，个人信息处理者应在收到通知后</w:t>
      </w:r>
      <w:r>
        <w:rPr>
          <w:rFonts w:eastAsia="等线" w:ascii="Arial" w:cs="Arial" w:hAnsi="Arial"/>
          <w:b w:val="true"/>
          <w:sz w:val="22"/>
        </w:rPr>
        <w:t>10个工作日内</w:t>
      </w:r>
      <w:r>
        <w:rPr>
          <w:rFonts w:eastAsia="等线" w:ascii="Arial" w:cs="Arial" w:hAnsi="Arial"/>
          <w:sz w:val="22"/>
        </w:rPr>
        <w:t>通过系统“编辑项目”进行补充并重新提交。逾期未补充，备案程序可能被终止。</w:t>
      </w:r>
    </w:p>
    <w:p>
      <w:pPr>
        <w:numPr>
          <w:numId w:val="125"/>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：《个人信息出境标准合同备案指南（第二版）》第三（二）条；《数据出境申报系统使用手册》第四部分第4点。</w:t>
      </w:r>
    </w:p>
    <w:p>
      <w:pPr>
        <w:spacing w:before="120" w:after="120" w:line="288" w:lineRule="auto"/>
        <w:ind w:left="0"/>
        <w:jc w:val="left"/>
      </w:pPr>
      <w:r>
        <w:rPr>
          <w:rFonts w:eastAsia="等线" w:ascii="Arial" w:cs="Arial" w:hAnsi="Arial"/>
          <w:b w:val="true"/>
          <w:sz w:val="22"/>
        </w:rPr>
        <w:t>五、 备案后变更与重新备案</w:t>
      </w:r>
    </w:p>
    <w:p>
      <w:pPr>
        <w:spacing w:before="120" w:after="120" w:line="288" w:lineRule="auto"/>
        <w:ind w:left="0"/>
        <w:jc w:val="left"/>
      </w:pPr>
      <w:r>
        <w:rPr>
          <w:rFonts w:eastAsia="等线" w:ascii="Arial" w:cs="Arial" w:hAnsi="Arial"/>
          <w:sz w:val="22"/>
        </w:rPr>
        <w:t>在标准合同有效期内，出现以下情形之一时，个人信息处理者必须重新开展个人信息保护影响评估，并履行相应备案手续：</w:t>
      </w:r>
    </w:p>
    <w:p>
      <w:pPr>
        <w:numPr>
          <w:numId w:val="126"/>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当出现（1）出境目的、范围、种类、敏感程度、方式、保存地点或境外接收方用途、方式变化，或延长保存期限；（2）境外接收方所在国家/地区的法律政策变化可能影响个人信息权益；（3）其他可能影响个人信息权益的情形时。</w:t>
      </w:r>
    </w:p>
    <w:p>
      <w:pPr>
        <w:numPr>
          <w:numId w:val="127"/>
        </w:numPr>
        <w:spacing w:before="120" w:after="120" w:line="288" w:lineRule="auto"/>
        <w:ind w:left="0"/>
        <w:jc w:val="left"/>
      </w:pPr>
      <w:r>
        <w:rPr>
          <w:rFonts w:eastAsia="等线" w:ascii="Arial" w:cs="Arial" w:hAnsi="Arial"/>
          <w:b w:val="true"/>
          <w:sz w:val="22"/>
        </w:rPr>
        <w:t>备案类型</w:t>
      </w:r>
      <w:r>
        <w:rPr>
          <w:rFonts w:eastAsia="等线" w:ascii="Arial" w:cs="Arial" w:hAnsi="Arial"/>
          <w:sz w:val="22"/>
        </w:rPr>
        <w:t>：</w:t>
      </w:r>
    </w:p>
    <w:p>
      <w:pPr>
        <w:numPr>
          <w:numId w:val="128"/>
        </w:numPr>
        <w:spacing w:before="120" w:after="120" w:line="288" w:lineRule="auto"/>
        <w:ind w:left="453"/>
        <w:jc w:val="left"/>
      </w:pPr>
      <w:r>
        <w:rPr>
          <w:rFonts w:eastAsia="等线" w:ascii="Arial" w:cs="Arial" w:hAnsi="Arial"/>
          <w:b w:val="true"/>
          <w:sz w:val="22"/>
        </w:rPr>
        <w:t>补充备案</w:t>
      </w:r>
      <w:r>
        <w:rPr>
          <w:rFonts w:eastAsia="等线" w:ascii="Arial" w:cs="Arial" w:hAnsi="Arial"/>
          <w:sz w:val="22"/>
        </w:rPr>
        <w:t>：仅对原合同进行补充订立的，向所在地省级网信部门提交补充材料。</w:t>
      </w:r>
    </w:p>
    <w:p>
      <w:pPr>
        <w:numPr>
          <w:numId w:val="129"/>
        </w:numPr>
        <w:spacing w:before="120" w:after="120" w:line="288" w:lineRule="auto"/>
        <w:ind w:left="453"/>
        <w:jc w:val="left"/>
      </w:pPr>
      <w:r>
        <w:rPr>
          <w:rFonts w:eastAsia="等线" w:ascii="Arial" w:cs="Arial" w:hAnsi="Arial"/>
          <w:b w:val="true"/>
          <w:sz w:val="22"/>
        </w:rPr>
        <w:t>重新备案</w:t>
      </w:r>
      <w:r>
        <w:rPr>
          <w:rFonts w:eastAsia="等线" w:ascii="Arial" w:cs="Arial" w:hAnsi="Arial"/>
          <w:sz w:val="22"/>
        </w:rPr>
        <w:t>：重新订立标准合同的，应重新履行完整备案流程。</w:t>
      </w:r>
    </w:p>
    <w:p>
      <w:pPr>
        <w:numPr>
          <w:numId w:val="130"/>
        </w:numPr>
        <w:spacing w:before="120" w:after="120" w:line="288" w:lineRule="auto"/>
        <w:ind w:left="0"/>
        <w:jc w:val="left"/>
      </w:pPr>
      <w:r>
        <w:rPr>
          <w:rFonts w:eastAsia="等线" w:ascii="Arial" w:cs="Arial" w:hAnsi="Arial"/>
          <w:b w:val="true"/>
          <w:sz w:val="22"/>
        </w:rPr>
        <w:t>查验时间</w:t>
      </w:r>
      <w:r>
        <w:rPr>
          <w:rFonts w:eastAsia="等线" w:ascii="Arial" w:cs="Arial" w:hAnsi="Arial"/>
          <w:sz w:val="22"/>
        </w:rPr>
        <w:t>：补充或重新备案的材料查验时间同样为</w:t>
      </w:r>
      <w:r>
        <w:rPr>
          <w:rFonts w:eastAsia="等线" w:ascii="Arial" w:cs="Arial" w:hAnsi="Arial"/>
          <w:b w:val="true"/>
          <w:sz w:val="22"/>
        </w:rPr>
        <w:t>15个工作日</w:t>
      </w:r>
      <w:r>
        <w:rPr>
          <w:rFonts w:eastAsia="等线" w:ascii="Arial" w:cs="Arial" w:hAnsi="Arial"/>
          <w:sz w:val="22"/>
        </w:rPr>
        <w:t>。</w:t>
      </w:r>
    </w:p>
    <w:p>
      <w:pPr>
        <w:numPr>
          <w:numId w:val="131"/>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：《个人信息出境标准合同备案指南（第二版）》第三（三）条。</w:t>
      </w:r>
    </w:p>
    <w:p>
      <w:pPr>
        <w:spacing w:before="120" w:after="120" w:line="288" w:lineRule="auto"/>
        <w:ind w:left="0"/>
        <w:jc w:val="left"/>
      </w:pPr>
      <w:r>
        <w:rPr>
          <w:rFonts w:eastAsia="等线" w:ascii="Arial" w:cs="Arial" w:hAnsi="Arial"/>
          <w:b w:val="true"/>
          <w:sz w:val="22"/>
        </w:rPr>
        <w:t>六、 重要时间节点与法律责任</w:t>
      </w:r>
    </w:p>
    <w:p>
      <w:pPr>
        <w:numPr>
          <w:numId w:val="132"/>
        </w:numPr>
        <w:spacing w:before="120" w:after="120" w:line="288" w:lineRule="auto"/>
        <w:ind w:left="0"/>
        <w:jc w:val="left"/>
      </w:pPr>
      <w:r>
        <w:rPr>
          <w:rFonts w:eastAsia="等线" w:ascii="Arial" w:cs="Arial" w:hAnsi="Arial"/>
          <w:b w:val="true"/>
          <w:sz w:val="22"/>
        </w:rPr>
        <w:t>备案时限</w:t>
      </w:r>
      <w:r>
        <w:rPr>
          <w:rFonts w:eastAsia="等线" w:ascii="Arial" w:cs="Arial" w:hAnsi="Arial"/>
          <w:sz w:val="22"/>
        </w:rPr>
        <w:t>：标准合同生效之日起</w:t>
      </w:r>
      <w:r>
        <w:rPr>
          <w:rFonts w:eastAsia="等线" w:ascii="Arial" w:cs="Arial" w:hAnsi="Arial"/>
          <w:b w:val="true"/>
          <w:sz w:val="22"/>
        </w:rPr>
        <w:t>10个工作日内</w:t>
      </w:r>
      <w:r>
        <w:rPr>
          <w:rFonts w:eastAsia="等线" w:ascii="Arial" w:cs="Arial" w:hAnsi="Arial"/>
          <w:sz w:val="22"/>
        </w:rPr>
        <w:t>完成备案。</w:t>
      </w:r>
    </w:p>
    <w:p>
      <w:pPr>
        <w:numPr>
          <w:numId w:val="133"/>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：《个人信息出境标准合同备案指南（第二版）》第二（二）条。</w:t>
      </w:r>
    </w:p>
    <w:p>
      <w:pPr>
        <w:numPr>
          <w:numId w:val="134"/>
        </w:numPr>
        <w:spacing w:before="120" w:after="120" w:line="288" w:lineRule="auto"/>
        <w:ind w:left="0"/>
        <w:jc w:val="left"/>
      </w:pPr>
      <w:r>
        <w:rPr>
          <w:rFonts w:eastAsia="等线" w:ascii="Arial" w:cs="Arial" w:hAnsi="Arial"/>
          <w:b w:val="true"/>
          <w:sz w:val="22"/>
        </w:rPr>
        <w:t>材料真实性责任</w:t>
      </w:r>
      <w:r>
        <w:rPr>
          <w:rFonts w:eastAsia="等线" w:ascii="Arial" w:cs="Arial" w:hAnsi="Arial"/>
          <w:sz w:val="22"/>
        </w:rPr>
        <w:t>：个人信息处理者对所提交材料的真实性负责。提交虚假材料的，将被注销备案编号，并依法追究法律责任。</w:t>
      </w:r>
    </w:p>
    <w:p>
      <w:pPr>
        <w:numPr>
          <w:numId w:val="135"/>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：《个人信息出境标准合同备案指南（第二版）》第三（三）条。</w:t>
      </w:r>
    </w:p>
    <w:p>
      <w:pPr>
        <w:spacing w:before="120" w:after="120" w:line="288" w:lineRule="auto"/>
        <w:ind w:left="0"/>
        <w:jc w:val="left"/>
      </w:pPr>
      <w:r>
        <w:rPr>
          <w:rFonts w:eastAsia="等线" w:ascii="Arial" w:cs="Arial" w:hAnsi="Arial"/>
          <w:b w:val="true"/>
          <w:sz w:val="22"/>
        </w:rPr>
        <w:t>主要参考依据文件列表：</w:t>
      </w:r>
    </w:p>
    <w:p>
      <w:pPr>
        <w:numPr>
          <w:numId w:val="136"/>
        </w:numPr>
        <w:spacing w:before="120" w:after="120" w:line="288" w:lineRule="auto"/>
        <w:ind w:left="0"/>
        <w:jc w:val="left"/>
      </w:pPr>
      <w:r>
        <w:rPr>
          <w:rFonts w:eastAsia="等线" w:ascii="Arial" w:cs="Arial" w:hAnsi="Arial"/>
          <w:sz w:val="22"/>
        </w:rPr>
        <w:t>《个人信息出境标准合同办法》</w:t>
      </w:r>
    </w:p>
    <w:p>
      <w:pPr>
        <w:numPr>
          <w:numId w:val="137"/>
        </w:numPr>
        <w:spacing w:before="120" w:after="120" w:line="288" w:lineRule="auto"/>
        <w:ind w:left="0"/>
        <w:jc w:val="left"/>
      </w:pPr>
      <w:r>
        <w:rPr>
          <w:rFonts w:eastAsia="等线" w:ascii="Arial" w:cs="Arial" w:hAnsi="Arial"/>
          <w:sz w:val="22"/>
        </w:rPr>
        <w:t>《促进和规范数据跨境流动规定》</w:t>
      </w:r>
    </w:p>
    <w:p>
      <w:pPr>
        <w:numPr>
          <w:numId w:val="138"/>
        </w:numPr>
        <w:spacing w:before="120" w:after="120" w:line="288" w:lineRule="auto"/>
        <w:ind w:left="0"/>
        <w:jc w:val="left"/>
      </w:pPr>
      <w:r>
        <w:rPr>
          <w:rFonts w:eastAsia="等线" w:ascii="Arial" w:cs="Arial" w:hAnsi="Arial"/>
          <w:sz w:val="22"/>
        </w:rPr>
        <w:t>《个人信息出境标准合同备案指南（第二版）》</w:t>
      </w:r>
    </w:p>
    <w:p>
      <w:pPr>
        <w:numPr>
          <w:numId w:val="139"/>
        </w:numPr>
        <w:spacing w:before="120" w:after="120" w:line="288" w:lineRule="auto"/>
        <w:ind w:left="0"/>
        <w:jc w:val="left"/>
      </w:pPr>
      <w:r>
        <w:rPr>
          <w:rFonts w:eastAsia="等线" w:ascii="Arial" w:cs="Arial" w:hAnsi="Arial"/>
          <w:sz w:val="22"/>
        </w:rPr>
        <w:t>《数据出境申报系统使用手册》</w:t>
      </w:r>
    </w:p>
    <w:p>
      <w:pPr>
        <w:spacing w:before="120" w:after="120" w:line="288" w:lineRule="auto"/>
        <w:ind w:left="0"/>
        <w:jc w:val="left"/>
      </w:pPr>
      <w:r>
        <w:rPr>
          <w:rFonts w:eastAsia="等线" w:ascii="Arial" w:cs="Arial" w:hAnsi="Arial"/>
          <w:b w:val="true"/>
          <w:sz w:val="22"/>
        </w:rPr>
        <w:t>个人信息出境标准合同备案具体流程描述</w:t>
      </w:r>
    </w:p>
    <w:p>
      <w:pPr>
        <w:spacing w:before="120" w:after="120" w:line="288" w:lineRule="auto"/>
        <w:ind w:left="0"/>
        <w:jc w:val="left"/>
      </w:pPr>
      <w:r>
        <w:rPr>
          <w:rFonts w:eastAsia="等线" w:ascii="Arial" w:cs="Arial" w:hAnsi="Arial"/>
          <w:sz w:val="22"/>
        </w:rPr>
        <w:t>本流程依据《个人信息出境标准合同备案指南（第二版）》及《数据出境申报系统使用手册》制定，适用于通过订立标准合同方式向境外提供个人信息的备案活动。</w:t>
      </w:r>
    </w:p>
    <w:p>
      <w:pPr>
        <w:spacing w:before="120" w:after="120" w:line="288" w:lineRule="auto"/>
        <w:ind w:left="0"/>
        <w:jc w:val="left"/>
      </w:pPr>
      <w:r>
        <w:rPr>
          <w:rFonts w:eastAsia="等线" w:ascii="Arial" w:cs="Arial" w:hAnsi="Arial"/>
          <w:b w:val="true"/>
          <w:sz w:val="22"/>
        </w:rPr>
        <w:t>一、 流程启动前自查与前置义务履行</w:t>
      </w:r>
    </w:p>
    <w:p>
      <w:pPr>
        <w:numPr>
          <w:numId w:val="140"/>
        </w:numPr>
        <w:spacing w:before="120" w:after="120" w:line="288" w:lineRule="auto"/>
        <w:ind w:left="0"/>
        <w:jc w:val="left"/>
      </w:pPr>
      <w:r>
        <w:rPr>
          <w:rFonts w:eastAsia="等线" w:ascii="Arial" w:cs="Arial" w:hAnsi="Arial"/>
          <w:b w:val="true"/>
          <w:sz w:val="22"/>
        </w:rPr>
        <w:t>确认适用条件</w:t>
      </w:r>
      <w:r>
        <w:rPr>
          <w:rFonts w:eastAsia="等线" w:ascii="Arial" w:cs="Arial" w:hAnsi="Arial"/>
          <w:sz w:val="22"/>
        </w:rPr>
        <w:t>：个人信息处理者需确认自身同时满足以下所有条件，方可通过订立标准合同路径出境并需履行备案义务。</w:t>
      </w:r>
    </w:p>
    <w:p>
      <w:pPr>
        <w:numPr>
          <w:numId w:val="141"/>
        </w:numPr>
        <w:spacing w:before="120" w:after="120" w:line="288" w:lineRule="auto"/>
        <w:ind w:left="453"/>
        <w:jc w:val="left"/>
      </w:pPr>
      <w:r>
        <w:rPr>
          <w:rFonts w:eastAsia="等线" w:ascii="Arial" w:cs="Arial" w:hAnsi="Arial"/>
          <w:b w:val="true"/>
          <w:sz w:val="22"/>
        </w:rPr>
        <w:t>操作</w:t>
      </w:r>
      <w:r>
        <w:rPr>
          <w:rFonts w:eastAsia="等线" w:ascii="Arial" w:cs="Arial" w:hAnsi="Arial"/>
          <w:sz w:val="22"/>
        </w:rPr>
        <w:t>：自查确认（1）自身非关键信息基础设施运营者；（2）自当年1月1日起，累计拟向境外提供的个人信息数量为：10万人以上、不满100万人的个人信息（不含敏感个人信息），</w:t>
      </w:r>
      <w:r>
        <w:rPr>
          <w:rFonts w:eastAsia="等线" w:ascii="Arial" w:cs="Arial" w:hAnsi="Arial"/>
          <w:b w:val="true"/>
          <w:sz w:val="22"/>
        </w:rPr>
        <w:t>或者</w:t>
      </w:r>
      <w:r>
        <w:rPr>
          <w:rFonts w:eastAsia="等线" w:ascii="Arial" w:cs="Arial" w:hAnsi="Arial"/>
          <w:sz w:val="22"/>
        </w:rPr>
        <w:t>不满1万人的敏感个人信息。拟出境数据中不得包含重要数据。</w:t>
      </w:r>
    </w:p>
    <w:p>
      <w:pPr>
        <w:numPr>
          <w:numId w:val="142"/>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：《个人信息出境标准合同备案指南（第二版）》第一（一）条。</w:t>
      </w:r>
    </w:p>
    <w:p>
      <w:pPr>
        <w:numPr>
          <w:numId w:val="143"/>
        </w:numPr>
        <w:spacing w:before="120" w:after="120" w:line="288" w:lineRule="auto"/>
        <w:ind w:left="453"/>
        <w:jc w:val="left"/>
      </w:pPr>
      <w:r>
        <w:rPr>
          <w:rFonts w:eastAsia="等线" w:ascii="Arial" w:cs="Arial" w:hAnsi="Arial"/>
          <w:b w:val="true"/>
          <w:sz w:val="22"/>
        </w:rPr>
        <w:t>禁止行为</w:t>
      </w:r>
      <w:r>
        <w:rPr>
          <w:rFonts w:eastAsia="等线" w:ascii="Arial" w:cs="Arial" w:hAnsi="Arial"/>
          <w:sz w:val="22"/>
        </w:rPr>
        <w:t>：不得通过拆分数量等方式，将本应通过安全评估的数据转为订立标准合同。</w:t>
      </w:r>
    </w:p>
    <w:p>
      <w:pPr>
        <w:numPr>
          <w:numId w:val="144"/>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：《个人信息出境标准合同备案指南（第二版）》第一（一）条。</w:t>
      </w:r>
    </w:p>
    <w:p>
      <w:pPr>
        <w:numPr>
          <w:numId w:val="145"/>
        </w:numPr>
        <w:spacing w:before="120" w:after="120" w:line="288" w:lineRule="auto"/>
        <w:ind w:left="453"/>
        <w:jc w:val="left"/>
      </w:pPr>
      <w:r>
        <w:rPr>
          <w:rFonts w:eastAsia="等线" w:ascii="Arial" w:cs="Arial" w:hAnsi="Arial"/>
          <w:b w:val="true"/>
          <w:sz w:val="22"/>
        </w:rPr>
        <w:t>豁免情形</w:t>
      </w:r>
      <w:r>
        <w:rPr>
          <w:rFonts w:eastAsia="等线" w:ascii="Arial" w:cs="Arial" w:hAnsi="Arial"/>
          <w:sz w:val="22"/>
        </w:rPr>
        <w:t>：若出境活动属于《促进和规范数据跨境流动规定》第三条、第四条、第五条、第六条规定的情形（如为订立合同所必需、实施跨境人力资源管理、符合自贸区负面清单等），则无需备案。</w:t>
      </w:r>
    </w:p>
    <w:p>
      <w:pPr>
        <w:numPr>
          <w:numId w:val="146"/>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：《个人信息出境标准合同备案指南（第二版）》第一（一）条。</w:t>
      </w:r>
    </w:p>
    <w:p>
      <w:pPr>
        <w:numPr>
          <w:numId w:val="147"/>
        </w:numPr>
        <w:spacing w:before="120" w:after="120" w:line="288" w:lineRule="auto"/>
        <w:ind w:left="0"/>
        <w:jc w:val="left"/>
      </w:pPr>
      <w:r>
        <w:rPr>
          <w:rFonts w:eastAsia="等线" w:ascii="Arial" w:cs="Arial" w:hAnsi="Arial"/>
          <w:b w:val="true"/>
          <w:sz w:val="22"/>
        </w:rPr>
        <w:t>履行法定义务</w:t>
      </w:r>
      <w:r>
        <w:rPr>
          <w:rFonts w:eastAsia="等线" w:ascii="Arial" w:cs="Arial" w:hAnsi="Arial"/>
          <w:sz w:val="22"/>
        </w:rPr>
        <w:t>：在申请备案前，必须依法完成以下工作。</w:t>
      </w:r>
    </w:p>
    <w:p>
      <w:pPr>
        <w:numPr>
          <w:numId w:val="148"/>
        </w:numPr>
        <w:spacing w:before="120" w:after="120" w:line="288" w:lineRule="auto"/>
        <w:ind w:left="453"/>
        <w:jc w:val="left"/>
      </w:pPr>
      <w:r>
        <w:rPr>
          <w:rFonts w:eastAsia="等线" w:ascii="Arial" w:cs="Arial" w:hAnsi="Arial"/>
          <w:b w:val="true"/>
          <w:sz w:val="22"/>
        </w:rPr>
        <w:t>操作</w:t>
      </w:r>
      <w:r>
        <w:rPr>
          <w:rFonts w:eastAsia="等线" w:ascii="Arial" w:cs="Arial" w:hAnsi="Arial"/>
          <w:sz w:val="22"/>
        </w:rPr>
        <w:t>：（1）向个人信息主体履行告知义务；（2）取得个人单独同意；（3）完成个人信息保护影响评估。</w:t>
      </w:r>
    </w:p>
    <w:p>
      <w:pPr>
        <w:numPr>
          <w:numId w:val="149"/>
        </w:numPr>
        <w:spacing w:before="120" w:after="120" w:line="288" w:lineRule="auto"/>
        <w:ind w:left="453"/>
        <w:jc w:val="left"/>
      </w:pPr>
      <w:r>
        <w:rPr>
          <w:rFonts w:eastAsia="等线" w:ascii="Arial" w:cs="Arial" w:hAnsi="Arial"/>
          <w:b w:val="true"/>
          <w:sz w:val="22"/>
        </w:rPr>
        <w:t>评估内容</w:t>
      </w:r>
      <w:r>
        <w:rPr>
          <w:rFonts w:eastAsia="等线" w:ascii="Arial" w:cs="Arial" w:hAnsi="Arial"/>
          <w:sz w:val="22"/>
        </w:rPr>
        <w:t>：评估必须涵盖出境目的、范围、方式的合法性、正当性、必要性；出境信息的规模、种类、敏感程度及可能风险；境外接收方的义务承诺与保障能力；出境后数据安全风险及维权渠道；接收方所在国家或地区的法律政策影响等事项。</w:t>
      </w:r>
    </w:p>
    <w:p>
      <w:pPr>
        <w:numPr>
          <w:numId w:val="150"/>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：《个人信息出境标准合同办法》第五条。</w:t>
      </w:r>
    </w:p>
    <w:p>
      <w:pPr>
        <w:spacing w:before="120" w:after="120" w:line="288" w:lineRule="auto"/>
        <w:ind w:left="0"/>
        <w:jc w:val="left"/>
      </w:pPr>
      <w:r>
        <w:rPr>
          <w:rFonts w:eastAsia="等线" w:ascii="Arial" w:cs="Arial" w:hAnsi="Arial"/>
          <w:b w:val="true"/>
          <w:sz w:val="22"/>
        </w:rPr>
        <w:t>二、 系统准备与登录</w:t>
      </w:r>
    </w:p>
    <w:p>
      <w:pPr>
        <w:numPr>
          <w:numId w:val="151"/>
        </w:numPr>
        <w:spacing w:before="120" w:after="120" w:line="288" w:lineRule="auto"/>
        <w:ind w:left="0"/>
        <w:jc w:val="left"/>
      </w:pPr>
      <w:r>
        <w:rPr>
          <w:rFonts w:eastAsia="等线" w:ascii="Arial" w:cs="Arial" w:hAnsi="Arial"/>
          <w:b w:val="true"/>
          <w:sz w:val="22"/>
        </w:rPr>
        <w:t>访问系统</w:t>
      </w:r>
      <w:r>
        <w:rPr>
          <w:rFonts w:eastAsia="等线" w:ascii="Arial" w:cs="Arial" w:hAnsi="Arial"/>
          <w:sz w:val="22"/>
        </w:rPr>
        <w:t>：通过中国网信网（</w:t>
      </w:r>
      <w:hyperlink r:id="rId7">
        <w:r>
          <w:rPr>
            <w:rFonts w:eastAsia="等线" w:ascii="Arial" w:cs="Arial" w:hAnsi="Arial"/>
            <w:color w:val="3370ff"/>
            <w:sz w:val="22"/>
          </w:rPr>
          <w:t>http://www.cac.gov.cn</w:t>
        </w:r>
      </w:hyperlink>
      <w:r>
        <w:rPr>
          <w:rFonts w:eastAsia="等线" w:ascii="Arial" w:cs="Arial" w:hAnsi="Arial"/>
          <w:sz w:val="22"/>
        </w:rPr>
        <w:t>）首页“互动服务”栏目，点击“数据出境申报系统”进入系统主页。</w:t>
      </w:r>
    </w:p>
    <w:p>
      <w:pPr>
        <w:numPr>
          <w:numId w:val="152"/>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：《数据出境申报系统使用手册》第三部分“注册流程”第1点。</w:t>
      </w:r>
    </w:p>
    <w:p>
      <w:pPr>
        <w:numPr>
          <w:numId w:val="153"/>
        </w:numPr>
        <w:spacing w:before="120" w:after="120" w:line="288" w:lineRule="auto"/>
        <w:ind w:left="0"/>
        <w:jc w:val="left"/>
      </w:pPr>
      <w:r>
        <w:rPr>
          <w:rFonts w:eastAsia="等线" w:ascii="Arial" w:cs="Arial" w:hAnsi="Arial"/>
          <w:b w:val="true"/>
          <w:sz w:val="22"/>
        </w:rPr>
        <w:t>注册账户</w:t>
      </w:r>
      <w:r>
        <w:rPr>
          <w:rFonts w:eastAsia="等线" w:ascii="Arial" w:cs="Arial" w:hAnsi="Arial"/>
          <w:sz w:val="22"/>
        </w:rPr>
        <w:t>：点击“注册账户”，设置用户名（4-14位数字字母组合）、密码（6-12位含数字、字母、特殊字符，强度中等以上），并绑定可接收短信的手机号。</w:t>
      </w:r>
    </w:p>
    <w:p>
      <w:pPr>
        <w:numPr>
          <w:numId w:val="154"/>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：《数据出境申报系统使用手册》第三部分“注册流程”第2点。</w:t>
      </w:r>
    </w:p>
    <w:p>
      <w:pPr>
        <w:numPr>
          <w:numId w:val="155"/>
        </w:numPr>
        <w:spacing w:before="120" w:after="120" w:line="288" w:lineRule="auto"/>
        <w:ind w:left="0"/>
        <w:jc w:val="left"/>
      </w:pPr>
      <w:r>
        <w:rPr>
          <w:rFonts w:eastAsia="等线" w:ascii="Arial" w:cs="Arial" w:hAnsi="Arial"/>
          <w:b w:val="true"/>
          <w:sz w:val="22"/>
        </w:rPr>
        <w:t>登录系统</w:t>
      </w:r>
      <w:r>
        <w:rPr>
          <w:rFonts w:eastAsia="等线" w:ascii="Arial" w:cs="Arial" w:hAnsi="Arial"/>
          <w:sz w:val="22"/>
        </w:rPr>
        <w:t>：输入用户名、密码及验证码，点击“登录”。</w:t>
      </w:r>
    </w:p>
    <w:p>
      <w:pPr>
        <w:numPr>
          <w:numId w:val="156"/>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：《数据出境申报系统使用手册》第三部分“注册流程”第3点。</w:t>
      </w:r>
    </w:p>
    <w:p>
      <w:pPr>
        <w:numPr>
          <w:numId w:val="157"/>
        </w:numPr>
        <w:spacing w:before="120" w:after="120" w:line="288" w:lineRule="auto"/>
        <w:ind w:left="0"/>
        <w:jc w:val="left"/>
      </w:pPr>
      <w:r>
        <w:rPr>
          <w:rFonts w:eastAsia="等线" w:ascii="Arial" w:cs="Arial" w:hAnsi="Arial"/>
          <w:b w:val="true"/>
          <w:sz w:val="22"/>
        </w:rPr>
        <w:t>信息录入</w:t>
      </w:r>
      <w:r>
        <w:rPr>
          <w:rFonts w:eastAsia="等线" w:ascii="Arial" w:cs="Arial" w:hAnsi="Arial"/>
          <w:sz w:val="22"/>
        </w:rPr>
        <w:t>：登录后，在“个人中心”-&gt;“信息修改”中，如实填写并保存“数据处理者情况”（单位名称、统一社会信用代码、所在省份）、“法定代表人信息”、“系统注册人信息”。系统注册人电话将用于接收所有流程短信通知。</w:t>
      </w:r>
    </w:p>
    <w:p>
      <w:pPr>
        <w:numPr>
          <w:numId w:val="158"/>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：《数据出境申报系统使用手册》第三部分“注册流程”第4点。</w:t>
      </w:r>
    </w:p>
    <w:p>
      <w:pPr>
        <w:spacing w:before="120" w:after="120" w:line="288" w:lineRule="auto"/>
        <w:ind w:left="0"/>
        <w:jc w:val="left"/>
      </w:pPr>
      <w:r>
        <w:rPr>
          <w:rFonts w:eastAsia="等线" w:ascii="Arial" w:cs="Arial" w:hAnsi="Arial"/>
          <w:b w:val="true"/>
          <w:sz w:val="22"/>
        </w:rPr>
        <w:t>三、 在线提交备案材料</w:t>
      </w:r>
    </w:p>
    <w:p>
      <w:pPr>
        <w:numPr>
          <w:numId w:val="159"/>
        </w:numPr>
        <w:spacing w:before="120" w:after="120" w:line="288" w:lineRule="auto"/>
        <w:ind w:left="0"/>
        <w:jc w:val="left"/>
      </w:pPr>
      <w:r>
        <w:rPr>
          <w:rFonts w:eastAsia="等线" w:ascii="Arial" w:cs="Arial" w:hAnsi="Arial"/>
          <w:b w:val="true"/>
          <w:sz w:val="22"/>
        </w:rPr>
        <w:t>进入备案模块</w:t>
      </w:r>
      <w:r>
        <w:rPr>
          <w:rFonts w:eastAsia="等线" w:ascii="Arial" w:cs="Arial" w:hAnsi="Arial"/>
          <w:sz w:val="22"/>
        </w:rPr>
        <w:t>：在系统首页选择“个人信息出境标准合同备案”业务。</w:t>
      </w:r>
    </w:p>
    <w:p>
      <w:pPr>
        <w:numPr>
          <w:numId w:val="160"/>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：《数据出境申报系统使用手册》第四部分“个人信息出境标准合同备案申报流程”。</w:t>
      </w:r>
    </w:p>
    <w:p>
      <w:pPr>
        <w:numPr>
          <w:numId w:val="161"/>
        </w:numPr>
        <w:spacing w:before="120" w:after="120" w:line="288" w:lineRule="auto"/>
        <w:ind w:left="0"/>
        <w:jc w:val="left"/>
      </w:pPr>
      <w:r>
        <w:rPr>
          <w:rFonts w:eastAsia="等线" w:ascii="Arial" w:cs="Arial" w:hAnsi="Arial"/>
          <w:b w:val="true"/>
          <w:sz w:val="22"/>
        </w:rPr>
        <w:t>确认适用情形</w:t>
      </w:r>
      <w:r>
        <w:rPr>
          <w:rFonts w:eastAsia="等线" w:ascii="Arial" w:cs="Arial" w:hAnsi="Arial"/>
          <w:sz w:val="22"/>
        </w:rPr>
        <w:t>：系统会提示用户确认是否符合备案条件，满足要求方可进入下一步。</w:t>
      </w:r>
    </w:p>
    <w:p>
      <w:pPr>
        <w:numPr>
          <w:numId w:val="162"/>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：《数据出境申报系统使用手册》第四部分第1点（逐项上传方式描述）。</w:t>
      </w:r>
    </w:p>
    <w:p>
      <w:pPr>
        <w:numPr>
          <w:numId w:val="163"/>
        </w:numPr>
        <w:spacing w:before="120" w:after="120" w:line="288" w:lineRule="auto"/>
        <w:ind w:left="0"/>
        <w:jc w:val="left"/>
      </w:pPr>
      <w:r>
        <w:rPr>
          <w:rFonts w:eastAsia="等线" w:ascii="Arial" w:cs="Arial" w:hAnsi="Arial"/>
          <w:b w:val="true"/>
          <w:sz w:val="22"/>
        </w:rPr>
        <w:t>选择上传方式并提交材料</w:t>
      </w:r>
      <w:r>
        <w:rPr>
          <w:rFonts w:eastAsia="等线" w:ascii="Arial" w:cs="Arial" w:hAnsi="Arial"/>
          <w:sz w:val="22"/>
        </w:rPr>
        <w:t>：系统支持“批量上传”和“逐项上传”两种方式，用户任选其一。</w:t>
      </w:r>
    </w:p>
    <w:p>
      <w:pPr>
        <w:numPr>
          <w:numId w:val="164"/>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：《数据出境申报系统使用手册》第四部分第1点。</w:t>
      </w:r>
    </w:p>
    <w:p>
      <w:pPr>
        <w:numPr>
          <w:numId w:val="165"/>
        </w:numPr>
        <w:spacing w:before="120" w:after="120" w:line="288" w:lineRule="auto"/>
        <w:ind w:left="453"/>
        <w:jc w:val="left"/>
      </w:pPr>
      <w:r>
        <w:rPr>
          <w:rFonts w:eastAsia="等线" w:ascii="Arial" w:cs="Arial" w:hAnsi="Arial"/>
          <w:b w:val="true"/>
          <w:sz w:val="22"/>
        </w:rPr>
        <w:t>方式A：批量上传</w:t>
      </w:r>
    </w:p>
    <w:p>
      <w:pPr>
        <w:numPr>
          <w:numId w:val="166"/>
        </w:numPr>
        <w:spacing w:before="120" w:after="120" w:line="288" w:lineRule="auto"/>
        <w:ind w:left="907"/>
        <w:jc w:val="left"/>
      </w:pPr>
      <w:r>
        <w:rPr>
          <w:rFonts w:eastAsia="等线" w:ascii="Arial" w:cs="Arial" w:hAnsi="Arial"/>
          <w:b w:val="true"/>
          <w:sz w:val="22"/>
        </w:rPr>
        <w:t>操作</w:t>
      </w:r>
      <w:r>
        <w:rPr>
          <w:rFonts w:eastAsia="等线" w:ascii="Arial" w:cs="Arial" w:hAnsi="Arial"/>
          <w:sz w:val="22"/>
        </w:rPr>
        <w:t>：</w:t>
      </w:r>
    </w:p>
    <w:p>
      <w:pPr>
        <w:numPr>
          <w:numId w:val="167"/>
        </w:numPr>
        <w:spacing w:before="120" w:after="120" w:line="288" w:lineRule="auto"/>
        <w:ind w:left="1360"/>
        <w:jc w:val="left"/>
      </w:pPr>
      <w:r>
        <w:rPr>
          <w:rFonts w:eastAsia="等线" w:ascii="Arial" w:cs="Arial" w:hAnsi="Arial"/>
          <w:sz w:val="22"/>
        </w:rPr>
        <w:t>点击“批量模板下载”，将全套材料模板压缩包保存至本地。</w:t>
      </w:r>
    </w:p>
    <w:p>
      <w:pPr>
        <w:numPr>
          <w:numId w:val="168"/>
        </w:numPr>
        <w:spacing w:before="120" w:after="120" w:line="288" w:lineRule="auto"/>
        <w:ind w:left="1360"/>
        <w:jc w:val="left"/>
      </w:pPr>
      <w:r>
        <w:rPr>
          <w:rFonts w:eastAsia="等线" w:ascii="Arial" w:cs="Arial" w:hAnsi="Arial"/>
          <w:sz w:val="22"/>
        </w:rPr>
        <w:t>线下按模板组织好所有备案材料后，压缩为一个ZIP包。</w:t>
      </w:r>
    </w:p>
    <w:p>
      <w:pPr>
        <w:numPr>
          <w:numId w:val="169"/>
        </w:numPr>
        <w:spacing w:before="120" w:after="120" w:line="288" w:lineRule="auto"/>
        <w:ind w:left="1360"/>
        <w:jc w:val="left"/>
      </w:pPr>
      <w:r>
        <w:rPr>
          <w:rFonts w:eastAsia="等线" w:ascii="Arial" w:cs="Arial" w:hAnsi="Arial"/>
          <w:sz w:val="22"/>
        </w:rPr>
        <w:t>点击“批量上传”按钮，上传该ZIP压缩包。系统将以“暂存”状态展示材料，用户可预览或提交。</w:t>
      </w:r>
    </w:p>
    <w:p>
      <w:pPr>
        <w:numPr>
          <w:numId w:val="170"/>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：《数据出境申报系统使用手册》第四部分第1点（1）。</w:t>
      </w:r>
    </w:p>
    <w:p>
      <w:pPr>
        <w:numPr>
          <w:numId w:val="171"/>
        </w:numPr>
        <w:spacing w:before="120" w:after="120" w:line="288" w:lineRule="auto"/>
        <w:ind w:left="453"/>
        <w:jc w:val="left"/>
      </w:pPr>
      <w:r>
        <w:rPr>
          <w:rFonts w:eastAsia="等线" w:ascii="Arial" w:cs="Arial" w:hAnsi="Arial"/>
          <w:b w:val="true"/>
          <w:sz w:val="22"/>
        </w:rPr>
        <w:t>方式B：逐项上传（向导式填写）</w:t>
      </w:r>
    </w:p>
    <w:p>
      <w:pPr>
        <w:numPr>
          <w:numId w:val="172"/>
        </w:numPr>
        <w:spacing w:before="120" w:after="120" w:line="288" w:lineRule="auto"/>
        <w:ind w:left="907"/>
        <w:jc w:val="left"/>
      </w:pPr>
      <w:r>
        <w:rPr>
          <w:rFonts w:eastAsia="等线" w:ascii="Arial" w:cs="Arial" w:hAnsi="Arial"/>
          <w:b w:val="true"/>
          <w:sz w:val="22"/>
        </w:rPr>
        <w:t>操作</w:t>
      </w:r>
      <w:r>
        <w:rPr>
          <w:rFonts w:eastAsia="等线" w:ascii="Arial" w:cs="Arial" w:hAnsi="Arial"/>
          <w:sz w:val="22"/>
        </w:rPr>
        <w:t>：点击“新增备案”，进入向导页面，按顺序填写并上传以下材料（标*号为必填项）：</w:t>
      </w:r>
    </w:p>
    <w:p>
      <w:pPr>
        <w:numPr>
          <w:numId w:val="173"/>
        </w:numPr>
        <w:spacing w:before="120" w:after="120" w:line="288" w:lineRule="auto"/>
        <w:ind w:left="1360"/>
        <w:jc w:val="left"/>
      </w:pPr>
      <w:r>
        <w:rPr>
          <w:rFonts w:eastAsia="等线" w:ascii="Arial" w:cs="Arial" w:hAnsi="Arial"/>
          <w:b w:val="true"/>
          <w:sz w:val="22"/>
        </w:rPr>
        <w:t>个人信息处理者基本情况</w:t>
      </w:r>
      <w:r>
        <w:rPr>
          <w:rFonts w:eastAsia="等线" w:ascii="Arial" w:cs="Arial" w:hAnsi="Arial"/>
          <w:sz w:val="22"/>
        </w:rPr>
        <w:t>：如实填写。</w:t>
      </w:r>
    </w:p>
    <w:p>
      <w:pPr>
        <w:numPr>
          <w:numId w:val="174"/>
        </w:numPr>
        <w:spacing w:before="120" w:after="120" w:line="288" w:lineRule="auto"/>
        <w:ind w:left="1360"/>
        <w:jc w:val="left"/>
      </w:pPr>
      <w:r>
        <w:rPr>
          <w:rFonts w:eastAsia="等线" w:ascii="Arial" w:cs="Arial" w:hAnsi="Arial"/>
          <w:b w:val="true"/>
          <w:sz w:val="22"/>
        </w:rPr>
        <w:t>法定代表人信息</w:t>
      </w:r>
      <w:r>
        <w:rPr>
          <w:rFonts w:eastAsia="等线" w:ascii="Arial" w:cs="Arial" w:hAnsi="Arial"/>
          <w:sz w:val="22"/>
        </w:rPr>
        <w:t>：如实填写。若为非法人实体或个人，勾选“无法定代表人”。</w:t>
      </w:r>
    </w:p>
    <w:p>
      <w:pPr>
        <w:numPr>
          <w:numId w:val="175"/>
        </w:numPr>
        <w:spacing w:before="120" w:after="120" w:line="288" w:lineRule="auto"/>
        <w:ind w:left="1360"/>
        <w:jc w:val="left"/>
      </w:pPr>
      <w:r>
        <w:rPr>
          <w:rFonts w:eastAsia="等线" w:ascii="Arial" w:cs="Arial" w:hAnsi="Arial"/>
          <w:b w:val="true"/>
          <w:sz w:val="22"/>
        </w:rPr>
        <w:t>经办人信息</w:t>
      </w:r>
      <w:r>
        <w:rPr>
          <w:rFonts w:eastAsia="等线" w:ascii="Arial" w:cs="Arial" w:hAnsi="Arial"/>
          <w:sz w:val="22"/>
        </w:rPr>
        <w:t>：如实填写。</w:t>
      </w:r>
    </w:p>
    <w:p>
      <w:pPr>
        <w:numPr>
          <w:numId w:val="176"/>
        </w:numPr>
        <w:spacing w:before="120" w:after="120" w:line="288" w:lineRule="auto"/>
        <w:ind w:left="1360"/>
        <w:jc w:val="left"/>
      </w:pPr>
      <w:r>
        <w:rPr>
          <w:rFonts w:eastAsia="等线" w:ascii="Arial" w:cs="Arial" w:hAnsi="Arial"/>
          <w:b w:val="true"/>
          <w:sz w:val="22"/>
        </w:rPr>
        <w:t>承诺书</w:t>
      </w:r>
      <w:r>
        <w:rPr>
          <w:rFonts w:eastAsia="等线" w:ascii="Arial" w:cs="Arial" w:hAnsi="Arial"/>
          <w:sz w:val="22"/>
        </w:rPr>
        <w:t>：上传已签署盖章的《承诺书》（模板见指南附件3）。</w:t>
      </w:r>
    </w:p>
    <w:p>
      <w:pPr>
        <w:numPr>
          <w:numId w:val="177"/>
        </w:numPr>
        <w:spacing w:before="120" w:after="120" w:line="288" w:lineRule="auto"/>
        <w:ind w:left="1360"/>
        <w:jc w:val="left"/>
      </w:pPr>
      <w:r>
        <w:rPr>
          <w:rFonts w:eastAsia="等线" w:ascii="Arial" w:cs="Arial" w:hAnsi="Arial"/>
          <w:b w:val="true"/>
          <w:sz w:val="22"/>
        </w:rPr>
        <w:t>个人信息出境场景</w:t>
      </w:r>
      <w:r>
        <w:rPr>
          <w:rFonts w:eastAsia="等线" w:ascii="Arial" w:cs="Arial" w:hAnsi="Arial"/>
          <w:sz w:val="22"/>
        </w:rPr>
        <w:t>：可添加多个场景，如实填写。</w:t>
      </w:r>
    </w:p>
    <w:p>
      <w:pPr>
        <w:numPr>
          <w:numId w:val="178"/>
        </w:numPr>
        <w:spacing w:before="120" w:after="120" w:line="288" w:lineRule="auto"/>
        <w:ind w:left="1360"/>
        <w:jc w:val="left"/>
      </w:pPr>
      <w:r>
        <w:rPr>
          <w:rFonts w:eastAsia="等线" w:ascii="Arial" w:cs="Arial" w:hAnsi="Arial"/>
          <w:b w:val="true"/>
          <w:sz w:val="22"/>
        </w:rPr>
        <w:t>个人信息出境标准合同</w:t>
      </w:r>
      <w:r>
        <w:rPr>
          <w:rFonts w:eastAsia="等线" w:ascii="Arial" w:cs="Arial" w:hAnsi="Arial"/>
          <w:sz w:val="22"/>
        </w:rPr>
        <w:t>：上传已签署的《标准合同》（范本见指南附件4）。</w:t>
      </w:r>
    </w:p>
    <w:p>
      <w:pPr>
        <w:numPr>
          <w:numId w:val="179"/>
        </w:numPr>
        <w:spacing w:before="120" w:after="120" w:line="288" w:lineRule="auto"/>
        <w:ind w:left="1360"/>
        <w:jc w:val="left"/>
      </w:pPr>
      <w:r>
        <w:rPr>
          <w:rFonts w:eastAsia="等线" w:ascii="Arial" w:cs="Arial" w:hAnsi="Arial"/>
          <w:b w:val="true"/>
          <w:sz w:val="22"/>
        </w:rPr>
        <w:t>个人信息保护影响评估报告</w:t>
      </w:r>
      <w:r>
        <w:rPr>
          <w:rFonts w:eastAsia="等线" w:ascii="Arial" w:cs="Arial" w:hAnsi="Arial"/>
          <w:sz w:val="22"/>
        </w:rPr>
        <w:t>：上传已完成的《报告》（模板见指南附件5），报告需使用中文撰写。</w:t>
      </w:r>
    </w:p>
    <w:p>
      <w:pPr>
        <w:numPr>
          <w:numId w:val="180"/>
        </w:numPr>
        <w:spacing w:before="120" w:after="120" w:line="288" w:lineRule="auto"/>
        <w:ind w:left="1360"/>
        <w:jc w:val="left"/>
      </w:pPr>
      <w:r>
        <w:rPr>
          <w:rFonts w:eastAsia="等线" w:ascii="Arial" w:cs="Arial" w:hAnsi="Arial"/>
          <w:b w:val="true"/>
          <w:sz w:val="22"/>
        </w:rPr>
        <w:t>其他相关证明材料</w:t>
      </w:r>
      <w:r>
        <w:rPr>
          <w:rFonts w:eastAsia="等线" w:ascii="Arial" w:cs="Arial" w:hAnsi="Arial"/>
          <w:sz w:val="22"/>
        </w:rPr>
        <w:t>：包括《经办人授权委托书》（模板见指南附件2）及其他必要材料。</w:t>
      </w:r>
    </w:p>
    <w:p>
      <w:pPr>
        <w:numPr>
          <w:numId w:val="181"/>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：《数据出境申报系统使用手册》第四部分第1点（2）；《个人信息出境标准合同备案指南（第二版）》第三（一）条及附件1。</w:t>
      </w:r>
    </w:p>
    <w:p>
      <w:pPr>
        <w:numPr>
          <w:numId w:val="182"/>
        </w:numPr>
        <w:spacing w:before="120" w:after="120" w:line="288" w:lineRule="auto"/>
        <w:ind w:left="453"/>
        <w:jc w:val="left"/>
      </w:pPr>
      <w:r>
        <w:rPr>
          <w:rFonts w:eastAsia="等线" w:ascii="Arial" w:cs="Arial" w:hAnsi="Arial"/>
          <w:b w:val="true"/>
          <w:sz w:val="22"/>
        </w:rPr>
        <w:t>共同要求</w:t>
      </w:r>
      <w:r>
        <w:rPr>
          <w:rFonts w:eastAsia="等线" w:ascii="Arial" w:cs="Arial" w:hAnsi="Arial"/>
          <w:sz w:val="22"/>
        </w:rPr>
        <w:t>：所有材料中，统一社会信用代码证件、法定代表人身份证件、经办人身份证件的影印件均需加盖公章。</w:t>
      </w:r>
    </w:p>
    <w:p>
      <w:pPr>
        <w:numPr>
          <w:numId w:val="183"/>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：《个人信息出境标准合同备案指南（第二版）》附件1。</w:t>
      </w:r>
    </w:p>
    <w:p>
      <w:pPr>
        <w:numPr>
          <w:numId w:val="184"/>
        </w:numPr>
        <w:spacing w:before="120" w:after="120" w:line="288" w:lineRule="auto"/>
        <w:ind w:left="0"/>
        <w:jc w:val="left"/>
      </w:pPr>
      <w:r>
        <w:rPr>
          <w:rFonts w:eastAsia="等线" w:ascii="Arial" w:cs="Arial" w:hAnsi="Arial"/>
          <w:b w:val="true"/>
          <w:sz w:val="22"/>
        </w:rPr>
        <w:t>正式提交备案</w:t>
      </w:r>
      <w:r>
        <w:rPr>
          <w:rFonts w:eastAsia="等线" w:ascii="Arial" w:cs="Arial" w:hAnsi="Arial"/>
          <w:sz w:val="22"/>
        </w:rPr>
        <w:t>：材料填写或上传完毕后，通过操作列“预览”确认无误，点击“提交备案”按钮正式提交。</w:t>
      </w:r>
    </w:p>
    <w:p>
      <w:pPr>
        <w:numPr>
          <w:numId w:val="185"/>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：《数据出境申报系统使用手册》第四部分第2点。</w:t>
      </w:r>
    </w:p>
    <w:p>
      <w:pPr>
        <w:spacing w:before="120" w:after="120" w:line="288" w:lineRule="auto"/>
        <w:ind w:left="0"/>
        <w:jc w:val="left"/>
      </w:pPr>
      <w:r>
        <w:rPr>
          <w:rFonts w:eastAsia="等线" w:ascii="Arial" w:cs="Arial" w:hAnsi="Arial"/>
          <w:b w:val="true"/>
          <w:sz w:val="22"/>
        </w:rPr>
        <w:t>四、 监管部门材料查验与结果反馈</w:t>
      </w:r>
    </w:p>
    <w:p>
      <w:pPr>
        <w:numPr>
          <w:numId w:val="186"/>
        </w:numPr>
        <w:spacing w:before="120" w:after="120" w:line="288" w:lineRule="auto"/>
        <w:ind w:left="0"/>
        <w:jc w:val="left"/>
      </w:pPr>
      <w:r>
        <w:rPr>
          <w:rFonts w:eastAsia="等线" w:ascii="Arial" w:cs="Arial" w:hAnsi="Arial"/>
          <w:b w:val="true"/>
          <w:sz w:val="22"/>
        </w:rPr>
        <w:t>材料查验</w:t>
      </w:r>
      <w:r>
        <w:rPr>
          <w:rFonts w:eastAsia="等线" w:ascii="Arial" w:cs="Arial" w:hAnsi="Arial"/>
          <w:sz w:val="22"/>
        </w:rPr>
        <w:t>：省级网信部门自收到备案材料之日起</w:t>
      </w:r>
      <w:r>
        <w:rPr>
          <w:rFonts w:eastAsia="等线" w:ascii="Arial" w:cs="Arial" w:hAnsi="Arial"/>
          <w:b w:val="true"/>
          <w:sz w:val="22"/>
        </w:rPr>
        <w:t>15个工作日内</w:t>
      </w:r>
      <w:r>
        <w:rPr>
          <w:rFonts w:eastAsia="等线" w:ascii="Arial" w:cs="Arial" w:hAnsi="Arial"/>
          <w:sz w:val="22"/>
        </w:rPr>
        <w:t>完成材料查验。</w:t>
      </w:r>
    </w:p>
    <w:p>
      <w:pPr>
        <w:numPr>
          <w:numId w:val="187"/>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：《个人信息出境标准合同备案指南（第二版）》第三（二）条。</w:t>
      </w:r>
    </w:p>
    <w:p>
      <w:pPr>
        <w:numPr>
          <w:numId w:val="188"/>
        </w:numPr>
        <w:spacing w:before="120" w:after="120" w:line="288" w:lineRule="auto"/>
        <w:ind w:left="0"/>
        <w:jc w:val="left"/>
      </w:pPr>
      <w:r>
        <w:rPr>
          <w:rFonts w:eastAsia="等线" w:ascii="Arial" w:cs="Arial" w:hAnsi="Arial"/>
          <w:b w:val="true"/>
          <w:sz w:val="22"/>
        </w:rPr>
        <w:t>反馈结果</w:t>
      </w:r>
      <w:r>
        <w:rPr>
          <w:rFonts w:eastAsia="等线" w:ascii="Arial" w:cs="Arial" w:hAnsi="Arial"/>
          <w:sz w:val="22"/>
        </w:rPr>
        <w:t>：</w:t>
      </w:r>
    </w:p>
    <w:p>
      <w:pPr>
        <w:numPr>
          <w:numId w:val="189"/>
        </w:numPr>
        <w:spacing w:before="120" w:after="120" w:line="288" w:lineRule="auto"/>
        <w:ind w:left="453"/>
        <w:jc w:val="left"/>
      </w:pPr>
      <w:r>
        <w:rPr>
          <w:rFonts w:eastAsia="等线" w:ascii="Arial" w:cs="Arial" w:hAnsi="Arial"/>
          <w:b w:val="true"/>
          <w:sz w:val="22"/>
        </w:rPr>
        <w:t>通过</w:t>
      </w:r>
      <w:r>
        <w:rPr>
          <w:rFonts w:eastAsia="等线" w:ascii="Arial" w:cs="Arial" w:hAnsi="Arial"/>
          <w:sz w:val="22"/>
        </w:rPr>
        <w:t>：对符合备案要求的，省级网信部门发放备案编号。结果会通过系统及短信通知注册手机号。用户可在系统中“查看”备案结果通知书。</w:t>
      </w:r>
    </w:p>
    <w:p>
      <w:pPr>
        <w:numPr>
          <w:numId w:val="190"/>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：《个人信息出境标准合同备案指南（第二版）》第三（二）条；《数据出境申报系统使用手册》第四部分第3点。</w:t>
      </w:r>
    </w:p>
    <w:p>
      <w:pPr>
        <w:numPr>
          <w:numId w:val="191"/>
        </w:numPr>
        <w:spacing w:before="120" w:after="120" w:line="288" w:lineRule="auto"/>
        <w:ind w:left="453"/>
        <w:jc w:val="left"/>
      </w:pPr>
      <w:r>
        <w:rPr>
          <w:rFonts w:eastAsia="等线" w:ascii="Arial" w:cs="Arial" w:hAnsi="Arial"/>
          <w:b w:val="true"/>
          <w:sz w:val="22"/>
        </w:rPr>
        <w:t>需补充</w:t>
      </w:r>
      <w:r>
        <w:rPr>
          <w:rFonts w:eastAsia="等线" w:ascii="Arial" w:cs="Arial" w:hAnsi="Arial"/>
          <w:sz w:val="22"/>
        </w:rPr>
        <w:t>：需要补充完善材料的，个人信息处理者应在收到通知后</w:t>
      </w:r>
      <w:r>
        <w:rPr>
          <w:rFonts w:eastAsia="等线" w:ascii="Arial" w:cs="Arial" w:hAnsi="Arial"/>
          <w:b w:val="true"/>
          <w:sz w:val="22"/>
        </w:rPr>
        <w:t>10个工作日内</w:t>
      </w:r>
      <w:r>
        <w:rPr>
          <w:rFonts w:eastAsia="等线" w:ascii="Arial" w:cs="Arial" w:hAnsi="Arial"/>
          <w:sz w:val="22"/>
        </w:rPr>
        <w:t>通过系统“编辑项目”进行补充并重新提交。逾期未补充，备案程序可能被终止。</w:t>
      </w:r>
    </w:p>
    <w:p>
      <w:pPr>
        <w:numPr>
          <w:numId w:val="192"/>
        </w:numPr>
        <w:spacing w:before="120" w:after="120" w:line="288" w:lineRule="auto"/>
        <w:ind w:left="907"/>
        <w:jc w:val="left"/>
      </w:pPr>
      <w:r>
        <w:rPr>
          <w:rFonts w:eastAsia="等线" w:ascii="Arial" w:cs="Arial" w:hAnsi="Arial"/>
          <w:b w:val="true"/>
          <w:sz w:val="22"/>
        </w:rPr>
        <w:t>依据</w:t>
      </w:r>
      <w:r>
        <w:rPr>
          <w:rFonts w:eastAsia="等线" w:ascii="Arial" w:cs="Arial" w:hAnsi="Arial"/>
          <w:sz w:val="22"/>
        </w:rPr>
        <w:t>：《个人信息出境标准合同备案指南（第二版）》第三（二）条；《数据出境申报系统使用手册》第四部分第4点。</w:t>
      </w:r>
    </w:p>
    <w:p>
      <w:pPr>
        <w:spacing w:before="120" w:after="120" w:line="288" w:lineRule="auto"/>
        <w:ind w:left="0"/>
        <w:jc w:val="left"/>
      </w:pPr>
      <w:r>
        <w:rPr>
          <w:rFonts w:eastAsia="等线" w:ascii="Arial" w:cs="Arial" w:hAnsi="Arial"/>
          <w:b w:val="true"/>
          <w:sz w:val="22"/>
        </w:rPr>
        <w:t>五、 备案后变更与重新备案</w:t>
      </w:r>
    </w:p>
    <w:p>
      <w:pPr>
        <w:spacing w:before="120" w:after="120" w:line="288" w:lineRule="auto"/>
        <w:ind w:left="0"/>
        <w:jc w:val="left"/>
      </w:pPr>
      <w:r>
        <w:rPr>
          <w:rFonts w:eastAsia="等线" w:ascii="Arial" w:cs="Arial" w:hAnsi="Arial"/>
          <w:sz w:val="22"/>
        </w:rPr>
        <w:t>在标准合同有效期内，出现以下情形之一时，个人信息处理者必须重新开展个人信息保护影响评估，并履行相应备案手续：</w:t>
      </w:r>
    </w:p>
    <w:p>
      <w:pPr>
        <w:numPr>
          <w:numId w:val="193"/>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当出现（1）出境目的、范围、种类、敏感程度、方式、保存地点或境外接收方用途、方式变化，或延长保存期限；（2）境外接收方所在国家/地区的法律政策变化可能影响个人信息权益；（3）其他可能影响个人信息权益的情形时。</w:t>
      </w:r>
    </w:p>
    <w:p>
      <w:pPr>
        <w:numPr>
          <w:numId w:val="194"/>
        </w:numPr>
        <w:spacing w:before="120" w:after="120" w:line="288" w:lineRule="auto"/>
        <w:ind w:left="0"/>
        <w:jc w:val="left"/>
      </w:pPr>
      <w:r>
        <w:rPr>
          <w:rFonts w:eastAsia="等线" w:ascii="Arial" w:cs="Arial" w:hAnsi="Arial"/>
          <w:b w:val="true"/>
          <w:sz w:val="22"/>
        </w:rPr>
        <w:t>备案类型</w:t>
      </w:r>
      <w:r>
        <w:rPr>
          <w:rFonts w:eastAsia="等线" w:ascii="Arial" w:cs="Arial" w:hAnsi="Arial"/>
          <w:sz w:val="22"/>
        </w:rPr>
        <w:t>：</w:t>
      </w:r>
    </w:p>
    <w:p>
      <w:pPr>
        <w:numPr>
          <w:numId w:val="195"/>
        </w:numPr>
        <w:spacing w:before="120" w:after="120" w:line="288" w:lineRule="auto"/>
        <w:ind w:left="453"/>
        <w:jc w:val="left"/>
      </w:pPr>
      <w:r>
        <w:rPr>
          <w:rFonts w:eastAsia="等线" w:ascii="Arial" w:cs="Arial" w:hAnsi="Arial"/>
          <w:b w:val="true"/>
          <w:sz w:val="22"/>
        </w:rPr>
        <w:t>补充备案</w:t>
      </w:r>
      <w:r>
        <w:rPr>
          <w:rFonts w:eastAsia="等线" w:ascii="Arial" w:cs="Arial" w:hAnsi="Arial"/>
          <w:sz w:val="22"/>
        </w:rPr>
        <w:t>：仅对原合同进行补充订立的，向所在地省级网信部门提交补充材料。</w:t>
      </w:r>
    </w:p>
    <w:p>
      <w:pPr>
        <w:numPr>
          <w:numId w:val="196"/>
        </w:numPr>
        <w:spacing w:before="120" w:after="120" w:line="288" w:lineRule="auto"/>
        <w:ind w:left="453"/>
        <w:jc w:val="left"/>
      </w:pPr>
      <w:r>
        <w:rPr>
          <w:rFonts w:eastAsia="等线" w:ascii="Arial" w:cs="Arial" w:hAnsi="Arial"/>
          <w:b w:val="true"/>
          <w:sz w:val="22"/>
        </w:rPr>
        <w:t>重新备案</w:t>
      </w:r>
      <w:r>
        <w:rPr>
          <w:rFonts w:eastAsia="等线" w:ascii="Arial" w:cs="Arial" w:hAnsi="Arial"/>
          <w:sz w:val="22"/>
        </w:rPr>
        <w:t>：重新订立标准合同的，应重新履行完整备案流程。</w:t>
      </w:r>
    </w:p>
    <w:p>
      <w:pPr>
        <w:numPr>
          <w:numId w:val="197"/>
        </w:numPr>
        <w:spacing w:before="120" w:after="120" w:line="288" w:lineRule="auto"/>
        <w:ind w:left="0"/>
        <w:jc w:val="left"/>
      </w:pPr>
      <w:r>
        <w:rPr>
          <w:rFonts w:eastAsia="等线" w:ascii="Arial" w:cs="Arial" w:hAnsi="Arial"/>
          <w:b w:val="true"/>
          <w:sz w:val="22"/>
        </w:rPr>
        <w:t>查验时间</w:t>
      </w:r>
      <w:r>
        <w:rPr>
          <w:rFonts w:eastAsia="等线" w:ascii="Arial" w:cs="Arial" w:hAnsi="Arial"/>
          <w:sz w:val="22"/>
        </w:rPr>
        <w:t>：补充或重新备案的材料查验时间同样为</w:t>
      </w:r>
      <w:r>
        <w:rPr>
          <w:rFonts w:eastAsia="等线" w:ascii="Arial" w:cs="Arial" w:hAnsi="Arial"/>
          <w:b w:val="true"/>
          <w:sz w:val="22"/>
        </w:rPr>
        <w:t>15个工作日</w:t>
      </w:r>
      <w:r>
        <w:rPr>
          <w:rFonts w:eastAsia="等线" w:ascii="Arial" w:cs="Arial" w:hAnsi="Arial"/>
          <w:sz w:val="22"/>
        </w:rPr>
        <w:t>。</w:t>
      </w:r>
    </w:p>
    <w:p>
      <w:pPr>
        <w:numPr>
          <w:numId w:val="198"/>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：《个人信息出境标准合同备案指南（第二版）》第三（三）条。</w:t>
      </w:r>
    </w:p>
    <w:p>
      <w:pPr>
        <w:spacing w:before="120" w:after="120" w:line="288" w:lineRule="auto"/>
        <w:ind w:left="0"/>
        <w:jc w:val="left"/>
      </w:pPr>
      <w:r>
        <w:rPr>
          <w:rFonts w:eastAsia="等线" w:ascii="Arial" w:cs="Arial" w:hAnsi="Arial"/>
          <w:b w:val="true"/>
          <w:sz w:val="22"/>
        </w:rPr>
        <w:t>六、 重要时间节点与法律责任</w:t>
      </w:r>
    </w:p>
    <w:p>
      <w:pPr>
        <w:numPr>
          <w:numId w:val="199"/>
        </w:numPr>
        <w:spacing w:before="120" w:after="120" w:line="288" w:lineRule="auto"/>
        <w:ind w:left="0"/>
        <w:jc w:val="left"/>
      </w:pPr>
      <w:r>
        <w:rPr>
          <w:rFonts w:eastAsia="等线" w:ascii="Arial" w:cs="Arial" w:hAnsi="Arial"/>
          <w:b w:val="true"/>
          <w:sz w:val="22"/>
        </w:rPr>
        <w:t>备案时限</w:t>
      </w:r>
      <w:r>
        <w:rPr>
          <w:rFonts w:eastAsia="等线" w:ascii="Arial" w:cs="Arial" w:hAnsi="Arial"/>
          <w:sz w:val="22"/>
        </w:rPr>
        <w:t>：标准合同生效之日起</w:t>
      </w:r>
      <w:r>
        <w:rPr>
          <w:rFonts w:eastAsia="等线" w:ascii="Arial" w:cs="Arial" w:hAnsi="Arial"/>
          <w:b w:val="true"/>
          <w:sz w:val="22"/>
        </w:rPr>
        <w:t>10个工作日内</w:t>
      </w:r>
      <w:r>
        <w:rPr>
          <w:rFonts w:eastAsia="等线" w:ascii="Arial" w:cs="Arial" w:hAnsi="Arial"/>
          <w:sz w:val="22"/>
        </w:rPr>
        <w:t>完成备案。</w:t>
      </w:r>
    </w:p>
    <w:p>
      <w:pPr>
        <w:numPr>
          <w:numId w:val="200"/>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：《个人信息出境标准合同备案指南（第二版）》第二（二）条。</w:t>
      </w:r>
    </w:p>
    <w:p>
      <w:pPr>
        <w:numPr>
          <w:numId w:val="201"/>
        </w:numPr>
        <w:spacing w:before="120" w:after="120" w:line="288" w:lineRule="auto"/>
        <w:ind w:left="0"/>
        <w:jc w:val="left"/>
      </w:pPr>
      <w:r>
        <w:rPr>
          <w:rFonts w:eastAsia="等线" w:ascii="Arial" w:cs="Arial" w:hAnsi="Arial"/>
          <w:b w:val="true"/>
          <w:sz w:val="22"/>
        </w:rPr>
        <w:t>材料真实性责任</w:t>
      </w:r>
      <w:r>
        <w:rPr>
          <w:rFonts w:eastAsia="等线" w:ascii="Arial" w:cs="Arial" w:hAnsi="Arial"/>
          <w:sz w:val="22"/>
        </w:rPr>
        <w:t>：个人信息处理者对所提交材料的真实性负责。提交虚假材料的，将被注销备案编号，并依法追究法律责任。</w:t>
      </w:r>
    </w:p>
    <w:p>
      <w:pPr>
        <w:numPr>
          <w:numId w:val="202"/>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：《个人信息出境标准合同备案指南（第二版）》第三（三）条。</w:t>
      </w:r>
    </w:p>
    <w:p>
      <w:pPr>
        <w:spacing w:before="120" w:after="120" w:line="288" w:lineRule="auto"/>
        <w:ind w:left="0"/>
        <w:jc w:val="left"/>
      </w:pPr>
      <w:r>
        <w:rPr>
          <w:rFonts w:eastAsia="等线" w:ascii="Arial" w:cs="Arial" w:hAnsi="Arial"/>
          <w:b w:val="true"/>
          <w:sz w:val="22"/>
        </w:rPr>
        <w:t>主要参考依据文件列表：</w:t>
      </w:r>
    </w:p>
    <w:p>
      <w:pPr>
        <w:numPr>
          <w:numId w:val="203"/>
        </w:numPr>
        <w:spacing w:before="120" w:after="120" w:line="288" w:lineRule="auto"/>
        <w:ind w:left="0"/>
        <w:jc w:val="left"/>
      </w:pPr>
      <w:r>
        <w:rPr>
          <w:rFonts w:eastAsia="等线" w:ascii="Arial" w:cs="Arial" w:hAnsi="Arial"/>
          <w:sz w:val="22"/>
        </w:rPr>
        <w:t>《个人信息出境标准合同办法》</w:t>
      </w:r>
    </w:p>
    <w:p>
      <w:pPr>
        <w:numPr>
          <w:numId w:val="204"/>
        </w:numPr>
        <w:spacing w:before="120" w:after="120" w:line="288" w:lineRule="auto"/>
        <w:ind w:left="0"/>
        <w:jc w:val="left"/>
      </w:pPr>
      <w:r>
        <w:rPr>
          <w:rFonts w:eastAsia="等线" w:ascii="Arial" w:cs="Arial" w:hAnsi="Arial"/>
          <w:sz w:val="22"/>
        </w:rPr>
        <w:t>《促进和规范数据跨境流动规定》</w:t>
      </w:r>
    </w:p>
    <w:p>
      <w:pPr>
        <w:numPr>
          <w:numId w:val="205"/>
        </w:numPr>
        <w:spacing w:before="120" w:after="120" w:line="288" w:lineRule="auto"/>
        <w:ind w:left="0"/>
        <w:jc w:val="left"/>
      </w:pPr>
      <w:r>
        <w:rPr>
          <w:rFonts w:eastAsia="等线" w:ascii="Arial" w:cs="Arial" w:hAnsi="Arial"/>
          <w:sz w:val="22"/>
        </w:rPr>
        <w:t>《个人信息出境标准合同备案指南（第二版）》</w:t>
      </w:r>
    </w:p>
    <w:p>
      <w:pPr>
        <w:numPr>
          <w:numId w:val="206"/>
        </w:numPr>
        <w:spacing w:before="120" w:after="120" w:line="288" w:lineRule="auto"/>
        <w:ind w:left="0"/>
        <w:jc w:val="left"/>
      </w:pPr>
      <w:r>
        <w:rPr>
          <w:rFonts w:eastAsia="等线" w:ascii="Arial" w:cs="Arial" w:hAnsi="Arial"/>
          <w:sz w:val="22"/>
        </w:rPr>
        <w:t>《数据出境申报系统使用手册》</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68197">
    <w:lvl>
      <w:start w:val="1"/>
      <w:numFmt w:val="decimal"/>
      <w:suff w:val="tab"/>
      <w:lvlText w:val="%1."/>
      <w:rPr>
        <w:color w:val="3370ff"/>
      </w:rPr>
    </w:lvl>
  </w:abstractNum>
  <w:abstractNum w:abstractNumId="1768198">
    <w:lvl>
      <w:numFmt w:val="bullet"/>
      <w:suff w:val="tab"/>
      <w:lvlText w:val="￮"/>
      <w:rPr>
        <w:color w:val="3370ff"/>
      </w:rPr>
    </w:lvl>
  </w:abstractNum>
  <w:abstractNum w:abstractNumId="1768199">
    <w:lvl>
      <w:start w:val="2"/>
      <w:numFmt w:val="decimal"/>
      <w:suff w:val="tab"/>
      <w:lvlText w:val="%1."/>
      <w:rPr>
        <w:color w:val="3370ff"/>
      </w:rPr>
    </w:lvl>
  </w:abstractNum>
  <w:abstractNum w:abstractNumId="1768200">
    <w:lvl>
      <w:numFmt w:val="bullet"/>
      <w:suff w:val="tab"/>
      <w:lvlText w:val="￮"/>
      <w:rPr>
        <w:color w:val="3370ff"/>
      </w:rPr>
    </w:lvl>
  </w:abstractNum>
  <w:abstractNum w:abstractNumId="1768201">
    <w:lvl>
      <w:numFmt w:val="bullet"/>
      <w:suff w:val="tab"/>
      <w:lvlText w:val="￮"/>
      <w:rPr>
        <w:color w:val="3370ff"/>
      </w:rPr>
    </w:lvl>
  </w:abstractNum>
  <w:abstractNum w:abstractNumId="1768202">
    <w:lvl>
      <w:start w:val="1"/>
      <w:numFmt w:val="lowerRoman"/>
      <w:suff w:val="tab"/>
      <w:lvlText w:val="%1."/>
      <w:rPr>
        <w:color w:val="3370ff"/>
      </w:rPr>
    </w:lvl>
  </w:abstractNum>
  <w:abstractNum w:abstractNumId="1768203">
    <w:lvl>
      <w:start w:val="2"/>
      <w:numFmt w:val="lowerRoman"/>
      <w:suff w:val="tab"/>
      <w:lvlText w:val="%1."/>
      <w:rPr>
        <w:color w:val="3370ff"/>
      </w:rPr>
    </w:lvl>
  </w:abstractNum>
  <w:abstractNum w:abstractNumId="1768204">
    <w:lvl>
      <w:start w:val="3"/>
      <w:numFmt w:val="lowerRoman"/>
      <w:suff w:val="tab"/>
      <w:lvlText w:val="%1."/>
      <w:rPr>
        <w:color w:val="3370ff"/>
      </w:rPr>
    </w:lvl>
  </w:abstractNum>
  <w:abstractNum w:abstractNumId="1768205">
    <w:lvl>
      <w:start w:val="4"/>
      <w:numFmt w:val="lowerRoman"/>
      <w:suff w:val="tab"/>
      <w:lvlText w:val="%1."/>
      <w:rPr>
        <w:color w:val="3370ff"/>
      </w:rPr>
    </w:lvl>
  </w:abstractNum>
  <w:abstractNum w:abstractNumId="1768206">
    <w:lvl>
      <w:start w:val="5"/>
      <w:numFmt w:val="lowerRoman"/>
      <w:suff w:val="tab"/>
      <w:lvlText w:val="%1."/>
      <w:rPr>
        <w:color w:val="3370ff"/>
      </w:rPr>
    </w:lvl>
  </w:abstractNum>
  <w:abstractNum w:abstractNumId="1768207">
    <w:lvl>
      <w:start w:val="6"/>
      <w:numFmt w:val="lowerRoman"/>
      <w:suff w:val="tab"/>
      <w:lvlText w:val="%1."/>
      <w:rPr>
        <w:color w:val="3370ff"/>
      </w:rPr>
    </w:lvl>
  </w:abstractNum>
  <w:abstractNum w:abstractNumId="1768208">
    <w:lvl>
      <w:start w:val="7"/>
      <w:numFmt w:val="lowerRoman"/>
      <w:suff w:val="tab"/>
      <w:lvlText w:val="%1."/>
      <w:rPr>
        <w:color w:val="3370ff"/>
      </w:rPr>
    </w:lvl>
  </w:abstractNum>
  <w:abstractNum w:abstractNumId="1768209">
    <w:lvl>
      <w:start w:val="8"/>
      <w:numFmt w:val="lowerRoman"/>
      <w:suff w:val="tab"/>
      <w:lvlText w:val="%1."/>
      <w:rPr>
        <w:color w:val="3370ff"/>
      </w:rPr>
    </w:lvl>
  </w:abstractNum>
  <w:abstractNum w:abstractNumId="1768210">
    <w:lvl>
      <w:start w:val="1"/>
      <w:numFmt w:val="decimal"/>
      <w:suff w:val="tab"/>
      <w:lvlText w:val="%1."/>
      <w:rPr>
        <w:color w:val="3370ff"/>
      </w:rPr>
    </w:lvl>
  </w:abstractNum>
  <w:abstractNum w:abstractNumId="1768211">
    <w:lvl>
      <w:numFmt w:val="bullet"/>
      <w:suff w:val="tab"/>
      <w:lvlText w:val="￮"/>
      <w:rPr>
        <w:color w:val="3370ff"/>
      </w:rPr>
    </w:lvl>
  </w:abstractNum>
  <w:abstractNum w:abstractNumId="1768212">
    <w:lvl>
      <w:numFmt w:val="bullet"/>
      <w:suff w:val="tab"/>
      <w:lvlText w:val="￮"/>
      <w:rPr>
        <w:color w:val="3370ff"/>
      </w:rPr>
    </w:lvl>
  </w:abstractNum>
  <w:abstractNum w:abstractNumId="1768213">
    <w:lvl>
      <w:numFmt w:val="bullet"/>
      <w:suff w:val="tab"/>
      <w:lvlText w:val="￮"/>
      <w:rPr>
        <w:color w:val="3370ff"/>
      </w:rPr>
    </w:lvl>
  </w:abstractNum>
  <w:abstractNum w:abstractNumId="1768214">
    <w:lvl>
      <w:start w:val="2"/>
      <w:numFmt w:val="decimal"/>
      <w:suff w:val="tab"/>
      <w:lvlText w:val="%1."/>
      <w:rPr>
        <w:color w:val="3370ff"/>
      </w:rPr>
    </w:lvl>
  </w:abstractNum>
  <w:abstractNum w:abstractNumId="1768215">
    <w:lvl>
      <w:numFmt w:val="bullet"/>
      <w:suff w:val="tab"/>
      <w:lvlText w:val="￮"/>
      <w:rPr>
        <w:color w:val="3370ff"/>
      </w:rPr>
    </w:lvl>
  </w:abstractNum>
  <w:abstractNum w:abstractNumId="1768216">
    <w:lvl>
      <w:numFmt w:val="bullet"/>
      <w:suff w:val="tab"/>
      <w:lvlText w:val="￮"/>
      <w:rPr>
        <w:color w:val="3370ff"/>
      </w:rPr>
    </w:lvl>
  </w:abstractNum>
  <w:abstractNum w:abstractNumId="1768217">
    <w:lvl>
      <w:numFmt w:val="bullet"/>
      <w:suff w:val="tab"/>
      <w:lvlText w:val="￮"/>
      <w:rPr>
        <w:color w:val="3370ff"/>
      </w:rPr>
    </w:lvl>
  </w:abstractNum>
  <w:abstractNum w:abstractNumId="1768218">
    <w:lvl>
      <w:start w:val="3"/>
      <w:numFmt w:val="decimal"/>
      <w:suff w:val="tab"/>
      <w:lvlText w:val="%1."/>
      <w:rPr>
        <w:color w:val="3370ff"/>
      </w:rPr>
    </w:lvl>
  </w:abstractNum>
  <w:abstractNum w:abstractNumId="1768219">
    <w:lvl>
      <w:numFmt w:val="bullet"/>
      <w:suff w:val="tab"/>
      <w:lvlText w:val="￮"/>
      <w:rPr>
        <w:color w:val="3370ff"/>
      </w:rPr>
    </w:lvl>
  </w:abstractNum>
  <w:abstractNum w:abstractNumId="1768220">
    <w:lvl>
      <w:numFmt w:val="bullet"/>
      <w:suff w:val="tab"/>
      <w:lvlText w:val="￮"/>
      <w:rPr>
        <w:color w:val="3370ff"/>
      </w:rPr>
    </w:lvl>
  </w:abstractNum>
  <w:abstractNum w:abstractNumId="1768221">
    <w:lvl>
      <w:numFmt w:val="bullet"/>
      <w:suff w:val="tab"/>
      <w:lvlText w:val="￮"/>
      <w:rPr>
        <w:color w:val="3370ff"/>
      </w:rPr>
    </w:lvl>
  </w:abstractNum>
  <w:abstractNum w:abstractNumId="1768222">
    <w:lvl>
      <w:numFmt w:val="bullet"/>
      <w:suff w:val="tab"/>
      <w:lvlText w:val="￮"/>
      <w:rPr>
        <w:color w:val="3370ff"/>
      </w:rPr>
    </w:lvl>
  </w:abstractNum>
  <w:abstractNum w:abstractNumId="1768223">
    <w:lvl>
      <w:numFmt w:val="bullet"/>
      <w:suff w:val="tab"/>
      <w:lvlText w:val="￮"/>
      <w:rPr>
        <w:color w:val="3370ff"/>
      </w:rPr>
    </w:lvl>
  </w:abstractNum>
  <w:abstractNum w:abstractNumId="1768224">
    <w:lvl>
      <w:numFmt w:val="bullet"/>
      <w:suff w:val="tab"/>
      <w:lvlText w:val="￮"/>
      <w:rPr>
        <w:color w:val="3370ff"/>
      </w:rPr>
    </w:lvl>
  </w:abstractNum>
  <w:abstractNum w:abstractNumId="1768225">
    <w:lvl>
      <w:start w:val="1"/>
      <w:numFmt w:val="decimal"/>
      <w:suff w:val="tab"/>
      <w:lvlText w:val="%1."/>
      <w:rPr>
        <w:color w:val="3370ff"/>
      </w:rPr>
    </w:lvl>
  </w:abstractNum>
  <w:abstractNum w:abstractNumId="1768226">
    <w:lvl>
      <w:numFmt w:val="bullet"/>
      <w:suff w:val="tab"/>
      <w:lvlText w:val="￮"/>
      <w:rPr>
        <w:color w:val="3370ff"/>
      </w:rPr>
    </w:lvl>
  </w:abstractNum>
  <w:abstractNum w:abstractNumId="1768227">
    <w:lvl>
      <w:numFmt w:val="bullet"/>
      <w:suff w:val="tab"/>
      <w:lvlText w:val="￮"/>
      <w:rPr>
        <w:color w:val="3370ff"/>
      </w:rPr>
    </w:lvl>
  </w:abstractNum>
  <w:abstractNum w:abstractNumId="1768228">
    <w:lvl>
      <w:numFmt w:val="bullet"/>
      <w:suff w:val="tab"/>
      <w:lvlText w:val="￮"/>
      <w:rPr>
        <w:color w:val="3370ff"/>
      </w:rPr>
    </w:lvl>
  </w:abstractNum>
  <w:abstractNum w:abstractNumId="1768229">
    <w:lvl>
      <w:start w:val="2"/>
      <w:numFmt w:val="decimal"/>
      <w:suff w:val="tab"/>
      <w:lvlText w:val="%1."/>
      <w:rPr>
        <w:color w:val="3370ff"/>
      </w:rPr>
    </w:lvl>
  </w:abstractNum>
  <w:abstractNum w:abstractNumId="1768230">
    <w:lvl>
      <w:numFmt w:val="bullet"/>
      <w:suff w:val="tab"/>
      <w:lvlText w:val="￮"/>
      <w:rPr>
        <w:color w:val="3370ff"/>
      </w:rPr>
    </w:lvl>
  </w:abstractNum>
  <w:abstractNum w:abstractNumId="1768231">
    <w:lvl>
      <w:numFmt w:val="bullet"/>
      <w:suff w:val="tab"/>
      <w:lvlText w:val="￮"/>
      <w:rPr>
        <w:color w:val="3370ff"/>
      </w:rPr>
    </w:lvl>
  </w:abstractNum>
  <w:abstractNum w:abstractNumId="1768232">
    <w:lvl>
      <w:numFmt w:val="bullet"/>
      <w:suff w:val="tab"/>
      <w:lvlText w:val="￮"/>
      <w:rPr>
        <w:color w:val="3370ff"/>
      </w:rPr>
    </w:lvl>
  </w:abstractNum>
  <w:abstractNum w:abstractNumId="1768233">
    <w:lvl>
      <w:start w:val="3"/>
      <w:numFmt w:val="decimal"/>
      <w:suff w:val="tab"/>
      <w:lvlText w:val="%1."/>
      <w:rPr>
        <w:color w:val="3370ff"/>
      </w:rPr>
    </w:lvl>
  </w:abstractNum>
  <w:abstractNum w:abstractNumId="1768234">
    <w:lvl>
      <w:numFmt w:val="bullet"/>
      <w:suff w:val="tab"/>
      <w:lvlText w:val="￮"/>
      <w:rPr>
        <w:color w:val="3370ff"/>
      </w:rPr>
    </w:lvl>
  </w:abstractNum>
  <w:abstractNum w:abstractNumId="1768235">
    <w:lvl>
      <w:numFmt w:val="bullet"/>
      <w:suff w:val="tab"/>
      <w:lvlText w:val="￮"/>
      <w:rPr>
        <w:color w:val="3370ff"/>
      </w:rPr>
    </w:lvl>
  </w:abstractNum>
  <w:abstractNum w:abstractNumId="1768236">
    <w:lvl>
      <w:numFmt w:val="bullet"/>
      <w:suff w:val="tab"/>
      <w:lvlText w:val="￮"/>
      <w:rPr>
        <w:color w:val="3370ff"/>
      </w:rPr>
    </w:lvl>
  </w:abstractNum>
  <w:abstractNum w:abstractNumId="1768237">
    <w:lvl>
      <w:numFmt w:val="bullet"/>
      <w:suff w:val="tab"/>
      <w:lvlText w:val="￮"/>
      <w:rPr>
        <w:color w:val="3370ff"/>
      </w:rPr>
    </w:lvl>
  </w:abstractNum>
  <w:abstractNum w:abstractNumId="1768238">
    <w:lvl>
      <w:numFmt w:val="bullet"/>
      <w:suff w:val="tab"/>
      <w:lvlText w:val="￮"/>
      <w:rPr>
        <w:color w:val="3370ff"/>
      </w:rPr>
    </w:lvl>
  </w:abstractNum>
  <w:abstractNum w:abstractNumId="1768239">
    <w:lvl>
      <w:start w:val="1"/>
      <w:numFmt w:val="decimal"/>
      <w:suff w:val="tab"/>
      <w:lvlText w:val="%1."/>
      <w:rPr>
        <w:color w:val="3370ff"/>
      </w:rPr>
    </w:lvl>
  </w:abstractNum>
  <w:abstractNum w:abstractNumId="1768240">
    <w:lvl>
      <w:numFmt w:val="bullet"/>
      <w:suff w:val="tab"/>
      <w:lvlText w:val="￮"/>
      <w:rPr>
        <w:color w:val="3370ff"/>
      </w:rPr>
    </w:lvl>
  </w:abstractNum>
  <w:abstractNum w:abstractNumId="1768241">
    <w:lvl>
      <w:numFmt w:val="bullet"/>
      <w:suff w:val="tab"/>
      <w:lvlText w:val="￮"/>
      <w:rPr>
        <w:color w:val="3370ff"/>
      </w:rPr>
    </w:lvl>
  </w:abstractNum>
  <w:abstractNum w:abstractNumId="1768242">
    <w:lvl>
      <w:numFmt w:val="bullet"/>
      <w:suff w:val="tab"/>
      <w:lvlText w:val="￮"/>
      <w:rPr>
        <w:color w:val="3370ff"/>
      </w:rPr>
    </w:lvl>
  </w:abstractNum>
  <w:abstractNum w:abstractNumId="1768243">
    <w:lvl>
      <w:start w:val="2"/>
      <w:numFmt w:val="decimal"/>
      <w:suff w:val="tab"/>
      <w:lvlText w:val="%1."/>
      <w:rPr>
        <w:color w:val="3370ff"/>
      </w:rPr>
    </w:lvl>
  </w:abstractNum>
  <w:abstractNum w:abstractNumId="1768244">
    <w:lvl>
      <w:numFmt w:val="bullet"/>
      <w:suff w:val="tab"/>
      <w:lvlText w:val="￮"/>
      <w:rPr>
        <w:color w:val="3370ff"/>
      </w:rPr>
    </w:lvl>
  </w:abstractNum>
  <w:abstractNum w:abstractNumId="1768245">
    <w:lvl>
      <w:numFmt w:val="bullet"/>
      <w:suff w:val="tab"/>
      <w:lvlText w:val="￮"/>
      <w:rPr>
        <w:color w:val="3370ff"/>
      </w:rPr>
    </w:lvl>
  </w:abstractNum>
  <w:abstractNum w:abstractNumId="1768246">
    <w:lvl>
      <w:start w:val="1"/>
      <w:numFmt w:val="decimal"/>
      <w:suff w:val="tab"/>
      <w:lvlText w:val="%1."/>
      <w:rPr>
        <w:color w:val="3370ff"/>
      </w:rPr>
    </w:lvl>
  </w:abstractNum>
  <w:abstractNum w:abstractNumId="1768247">
    <w:lvl>
      <w:numFmt w:val="bullet"/>
      <w:suff w:val="tab"/>
      <w:lvlText w:val="￮"/>
      <w:rPr>
        <w:color w:val="3370ff"/>
      </w:rPr>
    </w:lvl>
  </w:abstractNum>
  <w:abstractNum w:abstractNumId="1768248">
    <w:lvl>
      <w:start w:val="2"/>
      <w:numFmt w:val="decimal"/>
      <w:suff w:val="tab"/>
      <w:lvlText w:val="%1."/>
      <w:rPr>
        <w:color w:val="3370ff"/>
      </w:rPr>
    </w:lvl>
  </w:abstractNum>
  <w:abstractNum w:abstractNumId="1768249">
    <w:lvl>
      <w:numFmt w:val="bullet"/>
      <w:suff w:val="tab"/>
      <w:lvlText w:val="￮"/>
      <w:rPr>
        <w:color w:val="3370ff"/>
      </w:rPr>
    </w:lvl>
  </w:abstractNum>
  <w:abstractNum w:abstractNumId="1768250">
    <w:lvl>
      <w:numFmt w:val="bullet"/>
      <w:suff w:val="tab"/>
      <w:lvlText w:val="￮"/>
      <w:rPr>
        <w:color w:val="3370ff"/>
      </w:rPr>
    </w:lvl>
  </w:abstractNum>
  <w:abstractNum w:abstractNumId="1768251">
    <w:lvl>
      <w:numFmt w:val="bullet"/>
      <w:suff w:val="tab"/>
      <w:lvlText w:val="￮"/>
      <w:rPr>
        <w:color w:val="3370ff"/>
      </w:rPr>
    </w:lvl>
  </w:abstractNum>
  <w:abstractNum w:abstractNumId="1768252">
    <w:lvl>
      <w:numFmt w:val="bullet"/>
      <w:suff w:val="tab"/>
      <w:lvlText w:val="￮"/>
      <w:rPr>
        <w:color w:val="3370ff"/>
      </w:rPr>
    </w:lvl>
  </w:abstractNum>
  <w:abstractNum w:abstractNumId="1768253">
    <w:lvl>
      <w:numFmt w:val="bullet"/>
      <w:suff w:val="tab"/>
      <w:lvlText w:val="￮"/>
      <w:rPr>
        <w:color w:val="3370ff"/>
      </w:rPr>
    </w:lvl>
  </w:abstractNum>
  <w:abstractNum w:abstractNumId="1768254">
    <w:lvl>
      <w:start w:val="1"/>
      <w:numFmt w:val="decimal"/>
      <w:suff w:val="tab"/>
      <w:lvlText w:val="%1."/>
      <w:rPr>
        <w:color w:val="3370ff"/>
      </w:rPr>
    </w:lvl>
  </w:abstractNum>
  <w:abstractNum w:abstractNumId="1768255">
    <w:lvl>
      <w:start w:val="2"/>
      <w:numFmt w:val="decimal"/>
      <w:suff w:val="tab"/>
      <w:lvlText w:val="%1."/>
      <w:rPr>
        <w:color w:val="3370ff"/>
      </w:rPr>
    </w:lvl>
  </w:abstractNum>
  <w:abstractNum w:abstractNumId="1768256">
    <w:lvl>
      <w:start w:val="1"/>
      <w:numFmt w:val="decimal"/>
      <w:suff w:val="tab"/>
      <w:lvlText w:val="%1."/>
      <w:rPr>
        <w:color w:val="3370ff"/>
      </w:rPr>
    </w:lvl>
  </w:abstractNum>
  <w:abstractNum w:abstractNumId="1768257">
    <w:lvl>
      <w:start w:val="2"/>
      <w:numFmt w:val="decimal"/>
      <w:suff w:val="tab"/>
      <w:lvlText w:val="%1."/>
      <w:rPr>
        <w:color w:val="3370ff"/>
      </w:rPr>
    </w:lvl>
  </w:abstractNum>
  <w:abstractNum w:abstractNumId="1768258">
    <w:lvl>
      <w:start w:val="1"/>
      <w:numFmt w:val="decimal"/>
      <w:suff w:val="tab"/>
      <w:lvlText w:val="%1."/>
      <w:rPr>
        <w:color w:val="3370ff"/>
      </w:rPr>
    </w:lvl>
  </w:abstractNum>
  <w:abstractNum w:abstractNumId="1768259">
    <w:lvl>
      <w:start w:val="2"/>
      <w:numFmt w:val="decimal"/>
      <w:suff w:val="tab"/>
      <w:lvlText w:val="%1."/>
      <w:rPr>
        <w:color w:val="3370ff"/>
      </w:rPr>
    </w:lvl>
  </w:abstractNum>
  <w:abstractNum w:abstractNumId="1768260">
    <w:lvl>
      <w:start w:val="3"/>
      <w:numFmt w:val="decimal"/>
      <w:suff w:val="tab"/>
      <w:lvlText w:val="%1."/>
      <w:rPr>
        <w:color w:val="3370ff"/>
      </w:rPr>
    </w:lvl>
  </w:abstractNum>
  <w:abstractNum w:abstractNumId="1768261">
    <w:lvl>
      <w:start w:val="1"/>
      <w:numFmt w:val="decimal"/>
      <w:suff w:val="tab"/>
      <w:lvlText w:val="%1."/>
      <w:rPr>
        <w:color w:val="3370ff"/>
      </w:rPr>
    </w:lvl>
  </w:abstractNum>
  <w:abstractNum w:abstractNumId="1768262">
    <w:lvl>
      <w:start w:val="2"/>
      <w:numFmt w:val="decimal"/>
      <w:suff w:val="tab"/>
      <w:lvlText w:val="%1."/>
      <w:rPr>
        <w:color w:val="3370ff"/>
      </w:rPr>
    </w:lvl>
  </w:abstractNum>
  <w:abstractNum w:abstractNumId="1768263">
    <w:lvl>
      <w:start w:val="3"/>
      <w:numFmt w:val="decimal"/>
      <w:suff w:val="tab"/>
      <w:lvlText w:val="%1."/>
      <w:rPr>
        <w:color w:val="3370ff"/>
      </w:rPr>
    </w:lvl>
  </w:abstractNum>
  <w:abstractNum w:abstractNumId="1768264">
    <w:lvl>
      <w:start w:val="1"/>
      <w:numFmt w:val="decimal"/>
      <w:suff w:val="tab"/>
      <w:lvlText w:val="%1."/>
      <w:rPr>
        <w:color w:val="3370ff"/>
      </w:rPr>
    </w:lvl>
  </w:abstractNum>
  <w:abstractNum w:abstractNumId="1768265">
    <w:lvl>
      <w:start w:val="2"/>
      <w:numFmt w:val="decimal"/>
      <w:suff w:val="tab"/>
      <w:lvlText w:val="%1."/>
      <w:rPr>
        <w:color w:val="3370ff"/>
      </w:rPr>
    </w:lvl>
  </w:abstractNum>
  <w:abstractNum w:abstractNumId="1768266">
    <w:lvl>
      <w:start w:val="3"/>
      <w:numFmt w:val="decimal"/>
      <w:suff w:val="tab"/>
      <w:lvlText w:val="%1."/>
      <w:rPr>
        <w:color w:val="3370ff"/>
      </w:rPr>
    </w:lvl>
  </w:abstractNum>
  <w:abstractNum w:abstractNumId="1768267">
    <w:lvl>
      <w:start w:val="4"/>
      <w:numFmt w:val="decimal"/>
      <w:suff w:val="tab"/>
      <w:lvlText w:val="%1."/>
      <w:rPr>
        <w:color w:val="3370ff"/>
      </w:rPr>
    </w:lvl>
  </w:abstractNum>
  <w:abstractNum w:abstractNumId="1768268">
    <w:lvl>
      <w:start w:val="5"/>
      <w:numFmt w:val="decimal"/>
      <w:suff w:val="tab"/>
      <w:lvlText w:val="%1."/>
      <w:rPr>
        <w:color w:val="3370ff"/>
      </w:rPr>
    </w:lvl>
  </w:abstractNum>
  <w:abstractNum w:abstractNumId="1768269">
    <w:lvl>
      <w:start w:val="1"/>
      <w:numFmt w:val="decimal"/>
      <w:suff w:val="tab"/>
      <w:lvlText w:val="%1."/>
      <w:rPr>
        <w:color w:val="3370ff"/>
      </w:rPr>
    </w:lvl>
  </w:abstractNum>
  <w:abstractNum w:abstractNumId="1768270">
    <w:lvl>
      <w:numFmt w:val="bullet"/>
      <w:suff w:val="tab"/>
      <w:lvlText w:val="￮"/>
      <w:rPr>
        <w:color w:val="3370ff"/>
      </w:rPr>
    </w:lvl>
  </w:abstractNum>
  <w:abstractNum w:abstractNumId="1768271">
    <w:lvl>
      <w:numFmt w:val="bullet"/>
      <w:suff w:val="tab"/>
      <w:lvlText w:val="￮"/>
      <w:rPr>
        <w:color w:val="3370ff"/>
      </w:rPr>
    </w:lvl>
  </w:abstractNum>
  <w:abstractNum w:abstractNumId="1768272">
    <w:lvl>
      <w:numFmt w:val="bullet"/>
      <w:suff w:val="tab"/>
      <w:lvlText w:val="￮"/>
      <w:rPr>
        <w:color w:val="3370ff"/>
      </w:rPr>
    </w:lvl>
  </w:abstractNum>
  <w:abstractNum w:abstractNumId="1768273">
    <w:lvl>
      <w:numFmt w:val="bullet"/>
      <w:suff w:val="tab"/>
      <w:lvlText w:val="￮"/>
      <w:rPr>
        <w:color w:val="3370ff"/>
      </w:rPr>
    </w:lvl>
  </w:abstractNum>
  <w:abstractNum w:abstractNumId="1768274">
    <w:lvl>
      <w:numFmt w:val="bullet"/>
      <w:suff w:val="tab"/>
      <w:lvlText w:val="￮"/>
      <w:rPr>
        <w:color w:val="3370ff"/>
      </w:rPr>
    </w:lvl>
  </w:abstractNum>
  <w:abstractNum w:abstractNumId="1768275">
    <w:lvl>
      <w:numFmt w:val="bullet"/>
      <w:suff w:val="tab"/>
      <w:lvlText w:val="￮"/>
      <w:rPr>
        <w:color w:val="3370ff"/>
      </w:rPr>
    </w:lvl>
  </w:abstractNum>
  <w:abstractNum w:abstractNumId="1768276">
    <w:lvl>
      <w:start w:val="2"/>
      <w:numFmt w:val="decimal"/>
      <w:suff w:val="tab"/>
      <w:lvlText w:val="%1."/>
      <w:rPr>
        <w:color w:val="3370ff"/>
      </w:rPr>
    </w:lvl>
  </w:abstractNum>
  <w:abstractNum w:abstractNumId="1768277">
    <w:lvl>
      <w:numFmt w:val="bullet"/>
      <w:suff w:val="tab"/>
      <w:lvlText w:val="￮"/>
      <w:rPr>
        <w:color w:val="3370ff"/>
      </w:rPr>
    </w:lvl>
  </w:abstractNum>
  <w:abstractNum w:abstractNumId="1768278">
    <w:lvl>
      <w:numFmt w:val="bullet"/>
      <w:suff w:val="tab"/>
      <w:lvlText w:val="￮"/>
      <w:rPr>
        <w:color w:val="3370ff"/>
      </w:rPr>
    </w:lvl>
  </w:abstractNum>
  <w:abstractNum w:abstractNumId="1768279">
    <w:lvl>
      <w:numFmt w:val="bullet"/>
      <w:suff w:val="tab"/>
      <w:lvlText w:val="￮"/>
      <w:rPr>
        <w:color w:val="3370ff"/>
      </w:rPr>
    </w:lvl>
  </w:abstractNum>
  <w:abstractNum w:abstractNumId="1768280">
    <w:lvl>
      <w:start w:val="1"/>
      <w:numFmt w:val="decimal"/>
      <w:suff w:val="tab"/>
      <w:lvlText w:val="%1."/>
      <w:rPr>
        <w:color w:val="3370ff"/>
      </w:rPr>
    </w:lvl>
  </w:abstractNum>
  <w:abstractNum w:abstractNumId="1768281">
    <w:lvl>
      <w:numFmt w:val="bullet"/>
      <w:suff w:val="tab"/>
      <w:lvlText w:val="￮"/>
      <w:rPr>
        <w:color w:val="3370ff"/>
      </w:rPr>
    </w:lvl>
  </w:abstractNum>
  <w:abstractNum w:abstractNumId="1768282">
    <w:lvl>
      <w:start w:val="2"/>
      <w:numFmt w:val="decimal"/>
      <w:suff w:val="tab"/>
      <w:lvlText w:val="%1."/>
      <w:rPr>
        <w:color w:val="3370ff"/>
      </w:rPr>
    </w:lvl>
  </w:abstractNum>
  <w:abstractNum w:abstractNumId="1768283">
    <w:lvl>
      <w:numFmt w:val="bullet"/>
      <w:suff w:val="tab"/>
      <w:lvlText w:val="￮"/>
      <w:rPr>
        <w:color w:val="3370ff"/>
      </w:rPr>
    </w:lvl>
  </w:abstractNum>
  <w:abstractNum w:abstractNumId="1768284">
    <w:lvl>
      <w:start w:val="3"/>
      <w:numFmt w:val="decimal"/>
      <w:suff w:val="tab"/>
      <w:lvlText w:val="%1."/>
      <w:rPr>
        <w:color w:val="3370ff"/>
      </w:rPr>
    </w:lvl>
  </w:abstractNum>
  <w:abstractNum w:abstractNumId="1768285">
    <w:lvl>
      <w:numFmt w:val="bullet"/>
      <w:suff w:val="tab"/>
      <w:lvlText w:val="￮"/>
      <w:rPr>
        <w:color w:val="3370ff"/>
      </w:rPr>
    </w:lvl>
  </w:abstractNum>
  <w:abstractNum w:abstractNumId="1768286">
    <w:lvl>
      <w:start w:val="4"/>
      <w:numFmt w:val="decimal"/>
      <w:suff w:val="tab"/>
      <w:lvlText w:val="%1."/>
      <w:rPr>
        <w:color w:val="3370ff"/>
      </w:rPr>
    </w:lvl>
  </w:abstractNum>
  <w:abstractNum w:abstractNumId="1768287">
    <w:lvl>
      <w:numFmt w:val="bullet"/>
      <w:suff w:val="tab"/>
      <w:lvlText w:val="￮"/>
      <w:rPr>
        <w:color w:val="3370ff"/>
      </w:rPr>
    </w:lvl>
  </w:abstractNum>
  <w:abstractNum w:abstractNumId="1768288">
    <w:lvl>
      <w:start w:val="1"/>
      <w:numFmt w:val="decimal"/>
      <w:suff w:val="tab"/>
      <w:lvlText w:val="%1."/>
      <w:rPr>
        <w:color w:val="3370ff"/>
      </w:rPr>
    </w:lvl>
  </w:abstractNum>
  <w:abstractNum w:abstractNumId="1768289">
    <w:lvl>
      <w:numFmt w:val="bullet"/>
      <w:suff w:val="tab"/>
      <w:lvlText w:val="￮"/>
      <w:rPr>
        <w:color w:val="3370ff"/>
      </w:rPr>
    </w:lvl>
  </w:abstractNum>
  <w:abstractNum w:abstractNumId="1768290">
    <w:lvl>
      <w:start w:val="2"/>
      <w:numFmt w:val="decimal"/>
      <w:suff w:val="tab"/>
      <w:lvlText w:val="%1."/>
      <w:rPr>
        <w:color w:val="3370ff"/>
      </w:rPr>
    </w:lvl>
  </w:abstractNum>
  <w:abstractNum w:abstractNumId="1768291">
    <w:lvl>
      <w:numFmt w:val="bullet"/>
      <w:suff w:val="tab"/>
      <w:lvlText w:val="￮"/>
      <w:rPr>
        <w:color w:val="3370ff"/>
      </w:rPr>
    </w:lvl>
  </w:abstractNum>
  <w:abstractNum w:abstractNumId="1768292">
    <w:lvl>
      <w:start w:val="3"/>
      <w:numFmt w:val="decimal"/>
      <w:suff w:val="tab"/>
      <w:lvlText w:val="%1."/>
      <w:rPr>
        <w:color w:val="3370ff"/>
      </w:rPr>
    </w:lvl>
  </w:abstractNum>
  <w:abstractNum w:abstractNumId="1768293">
    <w:lvl>
      <w:numFmt w:val="bullet"/>
      <w:suff w:val="tab"/>
      <w:lvlText w:val="￮"/>
      <w:rPr>
        <w:color w:val="3370ff"/>
      </w:rPr>
    </w:lvl>
  </w:abstractNum>
  <w:abstractNum w:abstractNumId="1768294">
    <w:lvl>
      <w:numFmt w:val="bullet"/>
      <w:suff w:val="tab"/>
      <w:lvlText w:val="￮"/>
      <w:rPr>
        <w:color w:val="3370ff"/>
      </w:rPr>
    </w:lvl>
  </w:abstractNum>
  <w:abstractNum w:abstractNumId="1768295">
    <w:lvl>
      <w:numFmt w:val="bullet"/>
      <w:suff w:val="tab"/>
      <w:lvlText w:val="▪"/>
      <w:rPr>
        <w:color w:val="3370ff"/>
        <w:sz w:val="11"/>
      </w:rPr>
    </w:lvl>
  </w:abstractNum>
  <w:abstractNum w:abstractNumId="1768296">
    <w:lvl>
      <w:start w:val="1"/>
      <w:numFmt w:val="decimal"/>
      <w:suff w:val="tab"/>
      <w:lvlText w:val="%1."/>
      <w:rPr>
        <w:color w:val="3370ff"/>
      </w:rPr>
    </w:lvl>
  </w:abstractNum>
  <w:abstractNum w:abstractNumId="1768297">
    <w:lvl>
      <w:start w:val="2"/>
      <w:numFmt w:val="decimal"/>
      <w:suff w:val="tab"/>
      <w:lvlText w:val="%1."/>
      <w:rPr>
        <w:color w:val="3370ff"/>
      </w:rPr>
    </w:lvl>
  </w:abstractNum>
  <w:abstractNum w:abstractNumId="1768298">
    <w:lvl>
      <w:start w:val="3"/>
      <w:numFmt w:val="decimal"/>
      <w:suff w:val="tab"/>
      <w:lvlText w:val="%1."/>
      <w:rPr>
        <w:color w:val="3370ff"/>
      </w:rPr>
    </w:lvl>
  </w:abstractNum>
  <w:abstractNum w:abstractNumId="1768299">
    <w:lvl>
      <w:numFmt w:val="bullet"/>
      <w:suff w:val="tab"/>
      <w:lvlText w:val="▪"/>
      <w:rPr>
        <w:color w:val="3370ff"/>
        <w:sz w:val="11"/>
      </w:rPr>
    </w:lvl>
  </w:abstractNum>
  <w:abstractNum w:abstractNumId="1768300">
    <w:lvl>
      <w:numFmt w:val="bullet"/>
      <w:suff w:val="tab"/>
      <w:lvlText w:val="￮"/>
      <w:rPr>
        <w:color w:val="3370ff"/>
      </w:rPr>
    </w:lvl>
  </w:abstractNum>
  <w:abstractNum w:abstractNumId="1768301">
    <w:lvl>
      <w:numFmt w:val="bullet"/>
      <w:suff w:val="tab"/>
      <w:lvlText w:val="▪"/>
      <w:rPr>
        <w:color w:val="3370ff"/>
        <w:sz w:val="11"/>
      </w:rPr>
    </w:lvl>
  </w:abstractNum>
  <w:abstractNum w:abstractNumId="1768302">
    <w:lvl>
      <w:start w:val="1"/>
      <w:numFmt w:val="decimal"/>
      <w:suff w:val="tab"/>
      <w:lvlText w:val="%1."/>
      <w:rPr>
        <w:color w:val="3370ff"/>
      </w:rPr>
    </w:lvl>
  </w:abstractNum>
  <w:abstractNum w:abstractNumId="1768303">
    <w:lvl>
      <w:start w:val="2"/>
      <w:numFmt w:val="decimal"/>
      <w:suff w:val="tab"/>
      <w:lvlText w:val="%1."/>
      <w:rPr>
        <w:color w:val="3370ff"/>
      </w:rPr>
    </w:lvl>
  </w:abstractNum>
  <w:abstractNum w:abstractNumId="1768304">
    <w:lvl>
      <w:start w:val="3"/>
      <w:numFmt w:val="decimal"/>
      <w:suff w:val="tab"/>
      <w:lvlText w:val="%1."/>
      <w:rPr>
        <w:color w:val="3370ff"/>
      </w:rPr>
    </w:lvl>
  </w:abstractNum>
  <w:abstractNum w:abstractNumId="1768305">
    <w:lvl>
      <w:start w:val="4"/>
      <w:numFmt w:val="decimal"/>
      <w:suff w:val="tab"/>
      <w:lvlText w:val="%1."/>
      <w:rPr>
        <w:color w:val="3370ff"/>
      </w:rPr>
    </w:lvl>
  </w:abstractNum>
  <w:abstractNum w:abstractNumId="1768306">
    <w:lvl>
      <w:start w:val="5"/>
      <w:numFmt w:val="decimal"/>
      <w:suff w:val="tab"/>
      <w:lvlText w:val="%1."/>
      <w:rPr>
        <w:color w:val="3370ff"/>
      </w:rPr>
    </w:lvl>
  </w:abstractNum>
  <w:abstractNum w:abstractNumId="1768307">
    <w:lvl>
      <w:start w:val="6"/>
      <w:numFmt w:val="decimal"/>
      <w:suff w:val="tab"/>
      <w:lvlText w:val="%1."/>
      <w:rPr>
        <w:color w:val="3370ff"/>
      </w:rPr>
    </w:lvl>
  </w:abstractNum>
  <w:abstractNum w:abstractNumId="1768308">
    <w:lvl>
      <w:start w:val="7"/>
      <w:numFmt w:val="decimal"/>
      <w:suff w:val="tab"/>
      <w:lvlText w:val="%1."/>
      <w:rPr>
        <w:color w:val="3370ff"/>
      </w:rPr>
    </w:lvl>
  </w:abstractNum>
  <w:abstractNum w:abstractNumId="1768309">
    <w:lvl>
      <w:start w:val="8"/>
      <w:numFmt w:val="decimal"/>
      <w:suff w:val="tab"/>
      <w:lvlText w:val="%1."/>
      <w:rPr>
        <w:color w:val="3370ff"/>
      </w:rPr>
    </w:lvl>
  </w:abstractNum>
  <w:abstractNum w:abstractNumId="1768310">
    <w:lvl>
      <w:numFmt w:val="bullet"/>
      <w:suff w:val="tab"/>
      <w:lvlText w:val="▪"/>
      <w:rPr>
        <w:color w:val="3370ff"/>
        <w:sz w:val="11"/>
      </w:rPr>
    </w:lvl>
  </w:abstractNum>
  <w:abstractNum w:abstractNumId="1768311">
    <w:lvl>
      <w:numFmt w:val="bullet"/>
      <w:suff w:val="tab"/>
      <w:lvlText w:val="￮"/>
      <w:rPr>
        <w:color w:val="3370ff"/>
      </w:rPr>
    </w:lvl>
  </w:abstractNum>
  <w:abstractNum w:abstractNumId="1768312">
    <w:lvl>
      <w:numFmt w:val="bullet"/>
      <w:suff w:val="tab"/>
      <w:lvlText w:val="▪"/>
      <w:rPr>
        <w:color w:val="3370ff"/>
        <w:sz w:val="11"/>
      </w:rPr>
    </w:lvl>
  </w:abstractNum>
  <w:abstractNum w:abstractNumId="1768313">
    <w:lvl>
      <w:start w:val="4"/>
      <w:numFmt w:val="decimal"/>
      <w:suff w:val="tab"/>
      <w:lvlText w:val="%1."/>
      <w:rPr>
        <w:color w:val="3370ff"/>
      </w:rPr>
    </w:lvl>
  </w:abstractNum>
  <w:abstractNum w:abstractNumId="1768314">
    <w:lvl>
      <w:numFmt w:val="bullet"/>
      <w:suff w:val="tab"/>
      <w:lvlText w:val="￮"/>
      <w:rPr>
        <w:color w:val="3370ff"/>
      </w:rPr>
    </w:lvl>
  </w:abstractNum>
  <w:abstractNum w:abstractNumId="1768315">
    <w:lvl>
      <w:start w:val="1"/>
      <w:numFmt w:val="decimal"/>
      <w:suff w:val="tab"/>
      <w:lvlText w:val="%1."/>
      <w:rPr>
        <w:color w:val="3370ff"/>
      </w:rPr>
    </w:lvl>
  </w:abstractNum>
  <w:abstractNum w:abstractNumId="1768316">
    <w:lvl>
      <w:numFmt w:val="bullet"/>
      <w:suff w:val="tab"/>
      <w:lvlText w:val="￮"/>
      <w:rPr>
        <w:color w:val="3370ff"/>
      </w:rPr>
    </w:lvl>
  </w:abstractNum>
  <w:abstractNum w:abstractNumId="1768317">
    <w:lvl>
      <w:start w:val="2"/>
      <w:numFmt w:val="decimal"/>
      <w:suff w:val="tab"/>
      <w:lvlText w:val="%1."/>
      <w:rPr>
        <w:color w:val="3370ff"/>
      </w:rPr>
    </w:lvl>
  </w:abstractNum>
  <w:abstractNum w:abstractNumId="1768318">
    <w:lvl>
      <w:numFmt w:val="bullet"/>
      <w:suff w:val="tab"/>
      <w:lvlText w:val="￮"/>
      <w:rPr>
        <w:color w:val="3370ff"/>
      </w:rPr>
    </w:lvl>
  </w:abstractNum>
  <w:abstractNum w:abstractNumId="1768319">
    <w:lvl>
      <w:numFmt w:val="bullet"/>
      <w:suff w:val="tab"/>
      <w:lvlText w:val="▪"/>
      <w:rPr>
        <w:color w:val="3370ff"/>
        <w:sz w:val="11"/>
      </w:rPr>
    </w:lvl>
  </w:abstractNum>
  <w:abstractNum w:abstractNumId="1768320">
    <w:lvl>
      <w:numFmt w:val="bullet"/>
      <w:suff w:val="tab"/>
      <w:lvlText w:val="￮"/>
      <w:rPr>
        <w:color w:val="3370ff"/>
      </w:rPr>
    </w:lvl>
  </w:abstractNum>
  <w:abstractNum w:abstractNumId="1768321">
    <w:lvl>
      <w:numFmt w:val="bullet"/>
      <w:suff w:val="tab"/>
      <w:lvlText w:val="▪"/>
      <w:rPr>
        <w:color w:val="3370ff"/>
        <w:sz w:val="11"/>
      </w:rPr>
    </w:lvl>
  </w:abstractNum>
  <w:abstractNum w:abstractNumId="1768322">
    <w:lvl>
      <w:start w:val="1"/>
      <w:numFmt w:val="decimal"/>
      <w:suff w:val="tab"/>
      <w:lvlText w:val="%1."/>
      <w:rPr>
        <w:color w:val="3370ff"/>
      </w:rPr>
    </w:lvl>
  </w:abstractNum>
  <w:abstractNum w:abstractNumId="1768323">
    <w:lvl>
      <w:start w:val="2"/>
      <w:numFmt w:val="decimal"/>
      <w:suff w:val="tab"/>
      <w:lvlText w:val="%1."/>
      <w:rPr>
        <w:color w:val="3370ff"/>
      </w:rPr>
    </w:lvl>
  </w:abstractNum>
  <w:abstractNum w:abstractNumId="1768324">
    <w:lvl>
      <w:numFmt w:val="bullet"/>
      <w:suff w:val="tab"/>
      <w:lvlText w:val="￮"/>
      <w:rPr>
        <w:color w:val="3370ff"/>
      </w:rPr>
    </w:lvl>
  </w:abstractNum>
  <w:abstractNum w:abstractNumId="1768325">
    <w:lvl>
      <w:numFmt w:val="bullet"/>
      <w:suff w:val="tab"/>
      <w:lvlText w:val="￮"/>
      <w:rPr>
        <w:color w:val="3370ff"/>
      </w:rPr>
    </w:lvl>
  </w:abstractNum>
  <w:abstractNum w:abstractNumId="1768326">
    <w:lvl>
      <w:start w:val="3"/>
      <w:numFmt w:val="decimal"/>
      <w:suff w:val="tab"/>
      <w:lvlText w:val="%1."/>
      <w:rPr>
        <w:color w:val="3370ff"/>
      </w:rPr>
    </w:lvl>
  </w:abstractNum>
  <w:abstractNum w:abstractNumId="1768327">
    <w:lvl>
      <w:numFmt w:val="bullet"/>
      <w:suff w:val="tab"/>
      <w:lvlText w:val="￮"/>
      <w:rPr>
        <w:color w:val="3370ff"/>
      </w:rPr>
    </w:lvl>
  </w:abstractNum>
  <w:abstractNum w:abstractNumId="1768328">
    <w:lvl>
      <w:numFmt w:val="bullet"/>
      <w:suff w:val="tab"/>
      <w:lvlText w:val="•"/>
      <w:rPr>
        <w:color w:val="3370ff"/>
      </w:rPr>
    </w:lvl>
  </w:abstractNum>
  <w:abstractNum w:abstractNumId="1768329">
    <w:lvl>
      <w:numFmt w:val="bullet"/>
      <w:suff w:val="tab"/>
      <w:lvlText w:val="￮"/>
      <w:rPr>
        <w:color w:val="3370ff"/>
      </w:rPr>
    </w:lvl>
  </w:abstractNum>
  <w:abstractNum w:abstractNumId="1768330">
    <w:lvl>
      <w:numFmt w:val="bullet"/>
      <w:suff w:val="tab"/>
      <w:lvlText w:val="•"/>
      <w:rPr>
        <w:color w:val="3370ff"/>
      </w:rPr>
    </w:lvl>
  </w:abstractNum>
  <w:abstractNum w:abstractNumId="1768331">
    <w:lvl>
      <w:numFmt w:val="bullet"/>
      <w:suff w:val="tab"/>
      <w:lvlText w:val="￮"/>
      <w:rPr>
        <w:color w:val="3370ff"/>
      </w:rPr>
    </w:lvl>
  </w:abstractNum>
  <w:abstractNum w:abstractNumId="1768332">
    <w:lvl>
      <w:start w:val="1"/>
      <w:numFmt w:val="decimal"/>
      <w:suff w:val="tab"/>
      <w:lvlText w:val="%1."/>
      <w:rPr>
        <w:color w:val="3370ff"/>
      </w:rPr>
    </w:lvl>
  </w:abstractNum>
  <w:abstractNum w:abstractNumId="1768333">
    <w:lvl>
      <w:start w:val="2"/>
      <w:numFmt w:val="decimal"/>
      <w:suff w:val="tab"/>
      <w:lvlText w:val="%1."/>
      <w:rPr>
        <w:color w:val="3370ff"/>
      </w:rPr>
    </w:lvl>
  </w:abstractNum>
  <w:abstractNum w:abstractNumId="1768334">
    <w:lvl>
      <w:start w:val="3"/>
      <w:numFmt w:val="decimal"/>
      <w:suff w:val="tab"/>
      <w:lvlText w:val="%1."/>
      <w:rPr>
        <w:color w:val="3370ff"/>
      </w:rPr>
    </w:lvl>
  </w:abstractNum>
  <w:abstractNum w:abstractNumId="1768335">
    <w:lvl>
      <w:start w:val="4"/>
      <w:numFmt w:val="decimal"/>
      <w:suff w:val="tab"/>
      <w:lvlText w:val="%1."/>
      <w:rPr>
        <w:color w:val="3370ff"/>
      </w:rPr>
    </w:lvl>
  </w:abstractNum>
  <w:abstractNum w:abstractNumId="1768336">
    <w:lvl>
      <w:start w:val="1"/>
      <w:numFmt w:val="decimal"/>
      <w:suff w:val="tab"/>
      <w:lvlText w:val="%1."/>
      <w:rPr>
        <w:color w:val="3370ff"/>
      </w:rPr>
    </w:lvl>
  </w:abstractNum>
  <w:abstractNum w:abstractNumId="1768337">
    <w:lvl>
      <w:numFmt w:val="bullet"/>
      <w:suff w:val="tab"/>
      <w:lvlText w:val="￮"/>
      <w:rPr>
        <w:color w:val="3370ff"/>
      </w:rPr>
    </w:lvl>
  </w:abstractNum>
  <w:abstractNum w:abstractNumId="1768338">
    <w:lvl>
      <w:numFmt w:val="bullet"/>
      <w:suff w:val="tab"/>
      <w:lvlText w:val="￮"/>
      <w:rPr>
        <w:color w:val="3370ff"/>
      </w:rPr>
    </w:lvl>
  </w:abstractNum>
  <w:abstractNum w:abstractNumId="1768339">
    <w:lvl>
      <w:numFmt w:val="bullet"/>
      <w:suff w:val="tab"/>
      <w:lvlText w:val="￮"/>
      <w:rPr>
        <w:color w:val="3370ff"/>
      </w:rPr>
    </w:lvl>
  </w:abstractNum>
  <w:abstractNum w:abstractNumId="1768340">
    <w:lvl>
      <w:numFmt w:val="bullet"/>
      <w:suff w:val="tab"/>
      <w:lvlText w:val="￮"/>
      <w:rPr>
        <w:color w:val="3370ff"/>
      </w:rPr>
    </w:lvl>
  </w:abstractNum>
  <w:abstractNum w:abstractNumId="1768341">
    <w:lvl>
      <w:numFmt w:val="bullet"/>
      <w:suff w:val="tab"/>
      <w:lvlText w:val="￮"/>
      <w:rPr>
        <w:color w:val="3370ff"/>
      </w:rPr>
    </w:lvl>
  </w:abstractNum>
  <w:abstractNum w:abstractNumId="1768342">
    <w:lvl>
      <w:numFmt w:val="bullet"/>
      <w:suff w:val="tab"/>
      <w:lvlText w:val="￮"/>
      <w:rPr>
        <w:color w:val="3370ff"/>
      </w:rPr>
    </w:lvl>
  </w:abstractNum>
  <w:abstractNum w:abstractNumId="1768343">
    <w:lvl>
      <w:start w:val="2"/>
      <w:numFmt w:val="decimal"/>
      <w:suff w:val="tab"/>
      <w:lvlText w:val="%1."/>
      <w:rPr>
        <w:color w:val="3370ff"/>
      </w:rPr>
    </w:lvl>
  </w:abstractNum>
  <w:abstractNum w:abstractNumId="1768344">
    <w:lvl>
      <w:numFmt w:val="bullet"/>
      <w:suff w:val="tab"/>
      <w:lvlText w:val="￮"/>
      <w:rPr>
        <w:color w:val="3370ff"/>
      </w:rPr>
    </w:lvl>
  </w:abstractNum>
  <w:abstractNum w:abstractNumId="1768345">
    <w:lvl>
      <w:numFmt w:val="bullet"/>
      <w:suff w:val="tab"/>
      <w:lvlText w:val="￮"/>
      <w:rPr>
        <w:color w:val="3370ff"/>
      </w:rPr>
    </w:lvl>
  </w:abstractNum>
  <w:abstractNum w:abstractNumId="1768346">
    <w:lvl>
      <w:numFmt w:val="bullet"/>
      <w:suff w:val="tab"/>
      <w:lvlText w:val="￮"/>
      <w:rPr>
        <w:color w:val="3370ff"/>
      </w:rPr>
    </w:lvl>
  </w:abstractNum>
  <w:abstractNum w:abstractNumId="1768347">
    <w:lvl>
      <w:start w:val="1"/>
      <w:numFmt w:val="decimal"/>
      <w:suff w:val="tab"/>
      <w:lvlText w:val="%1."/>
      <w:rPr>
        <w:color w:val="3370ff"/>
      </w:rPr>
    </w:lvl>
  </w:abstractNum>
  <w:abstractNum w:abstractNumId="1768348">
    <w:lvl>
      <w:numFmt w:val="bullet"/>
      <w:suff w:val="tab"/>
      <w:lvlText w:val="￮"/>
      <w:rPr>
        <w:color w:val="3370ff"/>
      </w:rPr>
    </w:lvl>
  </w:abstractNum>
  <w:abstractNum w:abstractNumId="1768349">
    <w:lvl>
      <w:start w:val="2"/>
      <w:numFmt w:val="decimal"/>
      <w:suff w:val="tab"/>
      <w:lvlText w:val="%1."/>
      <w:rPr>
        <w:color w:val="3370ff"/>
      </w:rPr>
    </w:lvl>
  </w:abstractNum>
  <w:abstractNum w:abstractNumId="1768350">
    <w:lvl>
      <w:numFmt w:val="bullet"/>
      <w:suff w:val="tab"/>
      <w:lvlText w:val="￮"/>
      <w:rPr>
        <w:color w:val="3370ff"/>
      </w:rPr>
    </w:lvl>
  </w:abstractNum>
  <w:abstractNum w:abstractNumId="1768351">
    <w:lvl>
      <w:start w:val="3"/>
      <w:numFmt w:val="decimal"/>
      <w:suff w:val="tab"/>
      <w:lvlText w:val="%1."/>
      <w:rPr>
        <w:color w:val="3370ff"/>
      </w:rPr>
    </w:lvl>
  </w:abstractNum>
  <w:abstractNum w:abstractNumId="1768352">
    <w:lvl>
      <w:numFmt w:val="bullet"/>
      <w:suff w:val="tab"/>
      <w:lvlText w:val="￮"/>
      <w:rPr>
        <w:color w:val="3370ff"/>
      </w:rPr>
    </w:lvl>
  </w:abstractNum>
  <w:abstractNum w:abstractNumId="1768353">
    <w:lvl>
      <w:start w:val="4"/>
      <w:numFmt w:val="decimal"/>
      <w:suff w:val="tab"/>
      <w:lvlText w:val="%1."/>
      <w:rPr>
        <w:color w:val="3370ff"/>
      </w:rPr>
    </w:lvl>
  </w:abstractNum>
  <w:abstractNum w:abstractNumId="1768354">
    <w:lvl>
      <w:numFmt w:val="bullet"/>
      <w:suff w:val="tab"/>
      <w:lvlText w:val="￮"/>
      <w:rPr>
        <w:color w:val="3370ff"/>
      </w:rPr>
    </w:lvl>
  </w:abstractNum>
  <w:abstractNum w:abstractNumId="1768355">
    <w:lvl>
      <w:start w:val="1"/>
      <w:numFmt w:val="decimal"/>
      <w:suff w:val="tab"/>
      <w:lvlText w:val="%1."/>
      <w:rPr>
        <w:color w:val="3370ff"/>
      </w:rPr>
    </w:lvl>
  </w:abstractNum>
  <w:abstractNum w:abstractNumId="1768356">
    <w:lvl>
      <w:numFmt w:val="bullet"/>
      <w:suff w:val="tab"/>
      <w:lvlText w:val="￮"/>
      <w:rPr>
        <w:color w:val="3370ff"/>
      </w:rPr>
    </w:lvl>
  </w:abstractNum>
  <w:abstractNum w:abstractNumId="1768357">
    <w:lvl>
      <w:start w:val="2"/>
      <w:numFmt w:val="decimal"/>
      <w:suff w:val="tab"/>
      <w:lvlText w:val="%1."/>
      <w:rPr>
        <w:color w:val="3370ff"/>
      </w:rPr>
    </w:lvl>
  </w:abstractNum>
  <w:abstractNum w:abstractNumId="1768358">
    <w:lvl>
      <w:numFmt w:val="bullet"/>
      <w:suff w:val="tab"/>
      <w:lvlText w:val="￮"/>
      <w:rPr>
        <w:color w:val="3370ff"/>
      </w:rPr>
    </w:lvl>
  </w:abstractNum>
  <w:abstractNum w:abstractNumId="1768359">
    <w:lvl>
      <w:start w:val="3"/>
      <w:numFmt w:val="decimal"/>
      <w:suff w:val="tab"/>
      <w:lvlText w:val="%1."/>
      <w:rPr>
        <w:color w:val="3370ff"/>
      </w:rPr>
    </w:lvl>
  </w:abstractNum>
  <w:abstractNum w:abstractNumId="1768360">
    <w:lvl>
      <w:numFmt w:val="bullet"/>
      <w:suff w:val="tab"/>
      <w:lvlText w:val="￮"/>
      <w:rPr>
        <w:color w:val="3370ff"/>
      </w:rPr>
    </w:lvl>
  </w:abstractNum>
  <w:abstractNum w:abstractNumId="1768361">
    <w:lvl>
      <w:numFmt w:val="bullet"/>
      <w:suff w:val="tab"/>
      <w:lvlText w:val="￮"/>
      <w:rPr>
        <w:color w:val="3370ff"/>
      </w:rPr>
    </w:lvl>
  </w:abstractNum>
  <w:abstractNum w:abstractNumId="1768362">
    <w:lvl>
      <w:numFmt w:val="bullet"/>
      <w:suff w:val="tab"/>
      <w:lvlText w:val="▪"/>
      <w:rPr>
        <w:color w:val="3370ff"/>
        <w:sz w:val="11"/>
      </w:rPr>
    </w:lvl>
  </w:abstractNum>
  <w:abstractNum w:abstractNumId="1768363">
    <w:lvl>
      <w:start w:val="1"/>
      <w:numFmt w:val="decimal"/>
      <w:suff w:val="tab"/>
      <w:lvlText w:val="%1."/>
      <w:rPr>
        <w:color w:val="3370ff"/>
      </w:rPr>
    </w:lvl>
  </w:abstractNum>
  <w:abstractNum w:abstractNumId="1768364">
    <w:lvl>
      <w:start w:val="2"/>
      <w:numFmt w:val="decimal"/>
      <w:suff w:val="tab"/>
      <w:lvlText w:val="%1."/>
      <w:rPr>
        <w:color w:val="3370ff"/>
      </w:rPr>
    </w:lvl>
  </w:abstractNum>
  <w:abstractNum w:abstractNumId="1768365">
    <w:lvl>
      <w:start w:val="3"/>
      <w:numFmt w:val="decimal"/>
      <w:suff w:val="tab"/>
      <w:lvlText w:val="%1."/>
      <w:rPr>
        <w:color w:val="3370ff"/>
      </w:rPr>
    </w:lvl>
  </w:abstractNum>
  <w:abstractNum w:abstractNumId="1768366">
    <w:lvl>
      <w:numFmt w:val="bullet"/>
      <w:suff w:val="tab"/>
      <w:lvlText w:val="▪"/>
      <w:rPr>
        <w:color w:val="3370ff"/>
        <w:sz w:val="11"/>
      </w:rPr>
    </w:lvl>
  </w:abstractNum>
  <w:abstractNum w:abstractNumId="1768367">
    <w:lvl>
      <w:numFmt w:val="bullet"/>
      <w:suff w:val="tab"/>
      <w:lvlText w:val="￮"/>
      <w:rPr>
        <w:color w:val="3370ff"/>
      </w:rPr>
    </w:lvl>
  </w:abstractNum>
  <w:abstractNum w:abstractNumId="1768368">
    <w:lvl>
      <w:numFmt w:val="bullet"/>
      <w:suff w:val="tab"/>
      <w:lvlText w:val="▪"/>
      <w:rPr>
        <w:color w:val="3370ff"/>
        <w:sz w:val="11"/>
      </w:rPr>
    </w:lvl>
  </w:abstractNum>
  <w:abstractNum w:abstractNumId="1768369">
    <w:lvl>
      <w:start w:val="1"/>
      <w:numFmt w:val="decimal"/>
      <w:suff w:val="tab"/>
      <w:lvlText w:val="%1."/>
      <w:rPr>
        <w:color w:val="3370ff"/>
      </w:rPr>
    </w:lvl>
  </w:abstractNum>
  <w:abstractNum w:abstractNumId="1768370">
    <w:lvl>
      <w:start w:val="2"/>
      <w:numFmt w:val="decimal"/>
      <w:suff w:val="tab"/>
      <w:lvlText w:val="%1."/>
      <w:rPr>
        <w:color w:val="3370ff"/>
      </w:rPr>
    </w:lvl>
  </w:abstractNum>
  <w:abstractNum w:abstractNumId="1768371">
    <w:lvl>
      <w:start w:val="3"/>
      <w:numFmt w:val="decimal"/>
      <w:suff w:val="tab"/>
      <w:lvlText w:val="%1."/>
      <w:rPr>
        <w:color w:val="3370ff"/>
      </w:rPr>
    </w:lvl>
  </w:abstractNum>
  <w:abstractNum w:abstractNumId="1768372">
    <w:lvl>
      <w:start w:val="4"/>
      <w:numFmt w:val="decimal"/>
      <w:suff w:val="tab"/>
      <w:lvlText w:val="%1."/>
      <w:rPr>
        <w:color w:val="3370ff"/>
      </w:rPr>
    </w:lvl>
  </w:abstractNum>
  <w:abstractNum w:abstractNumId="1768373">
    <w:lvl>
      <w:start w:val="5"/>
      <w:numFmt w:val="decimal"/>
      <w:suff w:val="tab"/>
      <w:lvlText w:val="%1."/>
      <w:rPr>
        <w:color w:val="3370ff"/>
      </w:rPr>
    </w:lvl>
  </w:abstractNum>
  <w:abstractNum w:abstractNumId="1768374">
    <w:lvl>
      <w:start w:val="6"/>
      <w:numFmt w:val="decimal"/>
      <w:suff w:val="tab"/>
      <w:lvlText w:val="%1."/>
      <w:rPr>
        <w:color w:val="3370ff"/>
      </w:rPr>
    </w:lvl>
  </w:abstractNum>
  <w:abstractNum w:abstractNumId="1768375">
    <w:lvl>
      <w:start w:val="7"/>
      <w:numFmt w:val="decimal"/>
      <w:suff w:val="tab"/>
      <w:lvlText w:val="%1."/>
      <w:rPr>
        <w:color w:val="3370ff"/>
      </w:rPr>
    </w:lvl>
  </w:abstractNum>
  <w:abstractNum w:abstractNumId="1768376">
    <w:lvl>
      <w:start w:val="8"/>
      <w:numFmt w:val="decimal"/>
      <w:suff w:val="tab"/>
      <w:lvlText w:val="%1."/>
      <w:rPr>
        <w:color w:val="3370ff"/>
      </w:rPr>
    </w:lvl>
  </w:abstractNum>
  <w:abstractNum w:abstractNumId="1768377">
    <w:lvl>
      <w:numFmt w:val="bullet"/>
      <w:suff w:val="tab"/>
      <w:lvlText w:val="▪"/>
      <w:rPr>
        <w:color w:val="3370ff"/>
        <w:sz w:val="11"/>
      </w:rPr>
    </w:lvl>
  </w:abstractNum>
  <w:abstractNum w:abstractNumId="1768378">
    <w:lvl>
      <w:numFmt w:val="bullet"/>
      <w:suff w:val="tab"/>
      <w:lvlText w:val="￮"/>
      <w:rPr>
        <w:color w:val="3370ff"/>
      </w:rPr>
    </w:lvl>
  </w:abstractNum>
  <w:abstractNum w:abstractNumId="1768379">
    <w:lvl>
      <w:numFmt w:val="bullet"/>
      <w:suff w:val="tab"/>
      <w:lvlText w:val="▪"/>
      <w:rPr>
        <w:color w:val="3370ff"/>
        <w:sz w:val="11"/>
      </w:rPr>
    </w:lvl>
  </w:abstractNum>
  <w:abstractNum w:abstractNumId="1768380">
    <w:lvl>
      <w:start w:val="4"/>
      <w:numFmt w:val="decimal"/>
      <w:suff w:val="tab"/>
      <w:lvlText w:val="%1."/>
      <w:rPr>
        <w:color w:val="3370ff"/>
      </w:rPr>
    </w:lvl>
  </w:abstractNum>
  <w:abstractNum w:abstractNumId="1768381">
    <w:lvl>
      <w:numFmt w:val="bullet"/>
      <w:suff w:val="tab"/>
      <w:lvlText w:val="￮"/>
      <w:rPr>
        <w:color w:val="3370ff"/>
      </w:rPr>
    </w:lvl>
  </w:abstractNum>
  <w:abstractNum w:abstractNumId="1768382">
    <w:lvl>
      <w:start w:val="1"/>
      <w:numFmt w:val="decimal"/>
      <w:suff w:val="tab"/>
      <w:lvlText w:val="%1."/>
      <w:rPr>
        <w:color w:val="3370ff"/>
      </w:rPr>
    </w:lvl>
  </w:abstractNum>
  <w:abstractNum w:abstractNumId="1768383">
    <w:lvl>
      <w:numFmt w:val="bullet"/>
      <w:suff w:val="tab"/>
      <w:lvlText w:val="￮"/>
      <w:rPr>
        <w:color w:val="3370ff"/>
      </w:rPr>
    </w:lvl>
  </w:abstractNum>
  <w:abstractNum w:abstractNumId="1768384">
    <w:lvl>
      <w:start w:val="2"/>
      <w:numFmt w:val="decimal"/>
      <w:suff w:val="tab"/>
      <w:lvlText w:val="%1."/>
      <w:rPr>
        <w:color w:val="3370ff"/>
      </w:rPr>
    </w:lvl>
  </w:abstractNum>
  <w:abstractNum w:abstractNumId="1768385">
    <w:lvl>
      <w:numFmt w:val="bullet"/>
      <w:suff w:val="tab"/>
      <w:lvlText w:val="￮"/>
      <w:rPr>
        <w:color w:val="3370ff"/>
      </w:rPr>
    </w:lvl>
  </w:abstractNum>
  <w:abstractNum w:abstractNumId="1768386">
    <w:lvl>
      <w:numFmt w:val="bullet"/>
      <w:suff w:val="tab"/>
      <w:lvlText w:val="▪"/>
      <w:rPr>
        <w:color w:val="3370ff"/>
        <w:sz w:val="11"/>
      </w:rPr>
    </w:lvl>
  </w:abstractNum>
  <w:abstractNum w:abstractNumId="1768387">
    <w:lvl>
      <w:numFmt w:val="bullet"/>
      <w:suff w:val="tab"/>
      <w:lvlText w:val="￮"/>
      <w:rPr>
        <w:color w:val="3370ff"/>
      </w:rPr>
    </w:lvl>
  </w:abstractNum>
  <w:abstractNum w:abstractNumId="1768388">
    <w:lvl>
      <w:numFmt w:val="bullet"/>
      <w:suff w:val="tab"/>
      <w:lvlText w:val="▪"/>
      <w:rPr>
        <w:color w:val="3370ff"/>
        <w:sz w:val="11"/>
      </w:rPr>
    </w:lvl>
  </w:abstractNum>
  <w:abstractNum w:abstractNumId="1768389">
    <w:lvl>
      <w:start w:val="1"/>
      <w:numFmt w:val="decimal"/>
      <w:suff w:val="tab"/>
      <w:lvlText w:val="%1."/>
      <w:rPr>
        <w:color w:val="3370ff"/>
      </w:rPr>
    </w:lvl>
  </w:abstractNum>
  <w:abstractNum w:abstractNumId="1768390">
    <w:lvl>
      <w:start w:val="2"/>
      <w:numFmt w:val="decimal"/>
      <w:suff w:val="tab"/>
      <w:lvlText w:val="%1."/>
      <w:rPr>
        <w:color w:val="3370ff"/>
      </w:rPr>
    </w:lvl>
  </w:abstractNum>
  <w:abstractNum w:abstractNumId="1768391">
    <w:lvl>
      <w:numFmt w:val="bullet"/>
      <w:suff w:val="tab"/>
      <w:lvlText w:val="￮"/>
      <w:rPr>
        <w:color w:val="3370ff"/>
      </w:rPr>
    </w:lvl>
  </w:abstractNum>
  <w:abstractNum w:abstractNumId="1768392">
    <w:lvl>
      <w:numFmt w:val="bullet"/>
      <w:suff w:val="tab"/>
      <w:lvlText w:val="￮"/>
      <w:rPr>
        <w:color w:val="3370ff"/>
      </w:rPr>
    </w:lvl>
  </w:abstractNum>
  <w:abstractNum w:abstractNumId="1768393">
    <w:lvl>
      <w:start w:val="3"/>
      <w:numFmt w:val="decimal"/>
      <w:suff w:val="tab"/>
      <w:lvlText w:val="%1."/>
      <w:rPr>
        <w:color w:val="3370ff"/>
      </w:rPr>
    </w:lvl>
  </w:abstractNum>
  <w:abstractNum w:abstractNumId="1768394">
    <w:lvl>
      <w:numFmt w:val="bullet"/>
      <w:suff w:val="tab"/>
      <w:lvlText w:val="￮"/>
      <w:rPr>
        <w:color w:val="3370ff"/>
      </w:rPr>
    </w:lvl>
  </w:abstractNum>
  <w:abstractNum w:abstractNumId="1768395">
    <w:lvl>
      <w:numFmt w:val="bullet"/>
      <w:suff w:val="tab"/>
      <w:lvlText w:val="•"/>
      <w:rPr>
        <w:color w:val="3370ff"/>
      </w:rPr>
    </w:lvl>
  </w:abstractNum>
  <w:abstractNum w:abstractNumId="1768396">
    <w:lvl>
      <w:numFmt w:val="bullet"/>
      <w:suff w:val="tab"/>
      <w:lvlText w:val="￮"/>
      <w:rPr>
        <w:color w:val="3370ff"/>
      </w:rPr>
    </w:lvl>
  </w:abstractNum>
  <w:abstractNum w:abstractNumId="1768397">
    <w:lvl>
      <w:numFmt w:val="bullet"/>
      <w:suff w:val="tab"/>
      <w:lvlText w:val="•"/>
      <w:rPr>
        <w:color w:val="3370ff"/>
      </w:rPr>
    </w:lvl>
  </w:abstractNum>
  <w:abstractNum w:abstractNumId="1768398">
    <w:lvl>
      <w:numFmt w:val="bullet"/>
      <w:suff w:val="tab"/>
      <w:lvlText w:val="￮"/>
      <w:rPr>
        <w:color w:val="3370ff"/>
      </w:rPr>
    </w:lvl>
  </w:abstractNum>
  <w:abstractNum w:abstractNumId="1768399">
    <w:lvl>
      <w:start w:val="1"/>
      <w:numFmt w:val="decimal"/>
      <w:suff w:val="tab"/>
      <w:lvlText w:val="%1."/>
      <w:rPr>
        <w:color w:val="3370ff"/>
      </w:rPr>
    </w:lvl>
  </w:abstractNum>
  <w:abstractNum w:abstractNumId="1768400">
    <w:lvl>
      <w:start w:val="2"/>
      <w:numFmt w:val="decimal"/>
      <w:suff w:val="tab"/>
      <w:lvlText w:val="%1."/>
      <w:rPr>
        <w:color w:val="3370ff"/>
      </w:rPr>
    </w:lvl>
  </w:abstractNum>
  <w:abstractNum w:abstractNumId="1768401">
    <w:lvl>
      <w:start w:val="3"/>
      <w:numFmt w:val="decimal"/>
      <w:suff w:val="tab"/>
      <w:lvlText w:val="%1."/>
      <w:rPr>
        <w:color w:val="3370ff"/>
      </w:rPr>
    </w:lvl>
  </w:abstractNum>
  <w:abstractNum w:abstractNumId="1768402">
    <w:lvl>
      <w:start w:val="4"/>
      <w:numFmt w:val="decimal"/>
      <w:suff w:val="tab"/>
      <w:lvlText w:val="%1."/>
      <w:rPr>
        <w:color w:val="3370ff"/>
      </w:rPr>
    </w:lvl>
  </w:abstractNum>
  <w:num w:numId="1">
    <w:abstractNumId w:val="1768197"/>
  </w:num>
  <w:num w:numId="2">
    <w:abstractNumId w:val="1768198"/>
  </w:num>
  <w:num w:numId="3">
    <w:abstractNumId w:val="1768199"/>
  </w:num>
  <w:num w:numId="4">
    <w:abstractNumId w:val="1768200"/>
  </w:num>
  <w:num w:numId="5">
    <w:abstractNumId w:val="1768201"/>
  </w:num>
  <w:num w:numId="6">
    <w:abstractNumId w:val="1768202"/>
  </w:num>
  <w:num w:numId="7">
    <w:abstractNumId w:val="1768203"/>
  </w:num>
  <w:num w:numId="8">
    <w:abstractNumId w:val="1768204"/>
  </w:num>
  <w:num w:numId="9">
    <w:abstractNumId w:val="1768205"/>
  </w:num>
  <w:num w:numId="10">
    <w:abstractNumId w:val="1768206"/>
  </w:num>
  <w:num w:numId="11">
    <w:abstractNumId w:val="1768207"/>
  </w:num>
  <w:num w:numId="12">
    <w:abstractNumId w:val="1768208"/>
  </w:num>
  <w:num w:numId="13">
    <w:abstractNumId w:val="1768209"/>
  </w:num>
  <w:num w:numId="14">
    <w:abstractNumId w:val="1768210"/>
  </w:num>
  <w:num w:numId="15">
    <w:abstractNumId w:val="1768211"/>
  </w:num>
  <w:num w:numId="16">
    <w:abstractNumId w:val="1768212"/>
  </w:num>
  <w:num w:numId="17">
    <w:abstractNumId w:val="1768213"/>
  </w:num>
  <w:num w:numId="18">
    <w:abstractNumId w:val="1768214"/>
  </w:num>
  <w:num w:numId="19">
    <w:abstractNumId w:val="1768215"/>
  </w:num>
  <w:num w:numId="20">
    <w:abstractNumId w:val="1768216"/>
  </w:num>
  <w:num w:numId="21">
    <w:abstractNumId w:val="1768217"/>
  </w:num>
  <w:num w:numId="22">
    <w:abstractNumId w:val="1768218"/>
  </w:num>
  <w:num w:numId="23">
    <w:abstractNumId w:val="1768219"/>
  </w:num>
  <w:num w:numId="24">
    <w:abstractNumId w:val="1768220"/>
  </w:num>
  <w:num w:numId="25">
    <w:abstractNumId w:val="1768221"/>
  </w:num>
  <w:num w:numId="26">
    <w:abstractNumId w:val="1768222"/>
  </w:num>
  <w:num w:numId="27">
    <w:abstractNumId w:val="1768223"/>
  </w:num>
  <w:num w:numId="28">
    <w:abstractNumId w:val="1768224"/>
  </w:num>
  <w:num w:numId="29">
    <w:abstractNumId w:val="1768225"/>
  </w:num>
  <w:num w:numId="30">
    <w:abstractNumId w:val="1768226"/>
  </w:num>
  <w:num w:numId="31">
    <w:abstractNumId w:val="1768227"/>
  </w:num>
  <w:num w:numId="32">
    <w:abstractNumId w:val="1768228"/>
  </w:num>
  <w:num w:numId="33">
    <w:abstractNumId w:val="1768229"/>
  </w:num>
  <w:num w:numId="34">
    <w:abstractNumId w:val="1768230"/>
  </w:num>
  <w:num w:numId="35">
    <w:abstractNumId w:val="1768231"/>
  </w:num>
  <w:num w:numId="36">
    <w:abstractNumId w:val="1768232"/>
  </w:num>
  <w:num w:numId="37">
    <w:abstractNumId w:val="1768233"/>
  </w:num>
  <w:num w:numId="38">
    <w:abstractNumId w:val="1768234"/>
  </w:num>
  <w:num w:numId="39">
    <w:abstractNumId w:val="1768235"/>
  </w:num>
  <w:num w:numId="40">
    <w:abstractNumId w:val="1768236"/>
  </w:num>
  <w:num w:numId="41">
    <w:abstractNumId w:val="1768237"/>
  </w:num>
  <w:num w:numId="42">
    <w:abstractNumId w:val="1768238"/>
  </w:num>
  <w:num w:numId="43">
    <w:abstractNumId w:val="1768239"/>
  </w:num>
  <w:num w:numId="44">
    <w:abstractNumId w:val="1768240"/>
  </w:num>
  <w:num w:numId="45">
    <w:abstractNumId w:val="1768241"/>
  </w:num>
  <w:num w:numId="46">
    <w:abstractNumId w:val="1768242"/>
  </w:num>
  <w:num w:numId="47">
    <w:abstractNumId w:val="1768243"/>
  </w:num>
  <w:num w:numId="48">
    <w:abstractNumId w:val="1768244"/>
  </w:num>
  <w:num w:numId="49">
    <w:abstractNumId w:val="1768245"/>
  </w:num>
  <w:num w:numId="50">
    <w:abstractNumId w:val="1768246"/>
  </w:num>
  <w:num w:numId="51">
    <w:abstractNumId w:val="1768247"/>
  </w:num>
  <w:num w:numId="52">
    <w:abstractNumId w:val="1768248"/>
  </w:num>
  <w:num w:numId="53">
    <w:abstractNumId w:val="1768249"/>
  </w:num>
  <w:num w:numId="54">
    <w:abstractNumId w:val="1768250"/>
  </w:num>
  <w:num w:numId="55">
    <w:abstractNumId w:val="1768251"/>
  </w:num>
  <w:num w:numId="56">
    <w:abstractNumId w:val="1768252"/>
  </w:num>
  <w:num w:numId="57">
    <w:abstractNumId w:val="1768253"/>
  </w:num>
  <w:num w:numId="58">
    <w:abstractNumId w:val="1768254"/>
  </w:num>
  <w:num w:numId="59">
    <w:abstractNumId w:val="1768255"/>
  </w:num>
  <w:num w:numId="60">
    <w:abstractNumId w:val="1768256"/>
  </w:num>
  <w:num w:numId="61">
    <w:abstractNumId w:val="1768257"/>
  </w:num>
  <w:num w:numId="62">
    <w:abstractNumId w:val="1768258"/>
  </w:num>
  <w:num w:numId="63">
    <w:abstractNumId w:val="1768259"/>
  </w:num>
  <w:num w:numId="64">
    <w:abstractNumId w:val="1768260"/>
  </w:num>
  <w:num w:numId="65">
    <w:abstractNumId w:val="1768261"/>
  </w:num>
  <w:num w:numId="66">
    <w:abstractNumId w:val="1768262"/>
  </w:num>
  <w:num w:numId="67">
    <w:abstractNumId w:val="1768263"/>
  </w:num>
  <w:num w:numId="68">
    <w:abstractNumId w:val="1768264"/>
  </w:num>
  <w:num w:numId="69">
    <w:abstractNumId w:val="1768265"/>
  </w:num>
  <w:num w:numId="70">
    <w:abstractNumId w:val="1768266"/>
  </w:num>
  <w:num w:numId="71">
    <w:abstractNumId w:val="1768267"/>
  </w:num>
  <w:num w:numId="72">
    <w:abstractNumId w:val="1768268"/>
  </w:num>
  <w:num w:numId="73">
    <w:abstractNumId w:val="1768269"/>
  </w:num>
  <w:num w:numId="74">
    <w:abstractNumId w:val="1768270"/>
  </w:num>
  <w:num w:numId="75">
    <w:abstractNumId w:val="1768271"/>
  </w:num>
  <w:num w:numId="76">
    <w:abstractNumId w:val="1768272"/>
  </w:num>
  <w:num w:numId="77">
    <w:abstractNumId w:val="1768273"/>
  </w:num>
  <w:num w:numId="78">
    <w:abstractNumId w:val="1768274"/>
  </w:num>
  <w:num w:numId="79">
    <w:abstractNumId w:val="1768275"/>
  </w:num>
  <w:num w:numId="80">
    <w:abstractNumId w:val="1768276"/>
  </w:num>
  <w:num w:numId="81">
    <w:abstractNumId w:val="1768277"/>
  </w:num>
  <w:num w:numId="82">
    <w:abstractNumId w:val="1768278"/>
  </w:num>
  <w:num w:numId="83">
    <w:abstractNumId w:val="1768279"/>
  </w:num>
  <w:num w:numId="84">
    <w:abstractNumId w:val="1768280"/>
  </w:num>
  <w:num w:numId="85">
    <w:abstractNumId w:val="1768281"/>
  </w:num>
  <w:num w:numId="86">
    <w:abstractNumId w:val="1768282"/>
  </w:num>
  <w:num w:numId="87">
    <w:abstractNumId w:val="1768283"/>
  </w:num>
  <w:num w:numId="88">
    <w:abstractNumId w:val="1768284"/>
  </w:num>
  <w:num w:numId="89">
    <w:abstractNumId w:val="1768285"/>
  </w:num>
  <w:num w:numId="90">
    <w:abstractNumId w:val="1768286"/>
  </w:num>
  <w:num w:numId="91">
    <w:abstractNumId w:val="1768287"/>
  </w:num>
  <w:num w:numId="92">
    <w:abstractNumId w:val="1768288"/>
  </w:num>
  <w:num w:numId="93">
    <w:abstractNumId w:val="1768289"/>
  </w:num>
  <w:num w:numId="94">
    <w:abstractNumId w:val="1768290"/>
  </w:num>
  <w:num w:numId="95">
    <w:abstractNumId w:val="1768291"/>
  </w:num>
  <w:num w:numId="96">
    <w:abstractNumId w:val="1768292"/>
  </w:num>
  <w:num w:numId="97">
    <w:abstractNumId w:val="1768293"/>
  </w:num>
  <w:num w:numId="98">
    <w:abstractNumId w:val="1768294"/>
  </w:num>
  <w:num w:numId="99">
    <w:abstractNumId w:val="1768295"/>
  </w:num>
  <w:num w:numId="100">
    <w:abstractNumId w:val="1768296"/>
  </w:num>
  <w:num w:numId="101">
    <w:abstractNumId w:val="1768297"/>
  </w:num>
  <w:num w:numId="102">
    <w:abstractNumId w:val="1768298"/>
  </w:num>
  <w:num w:numId="103">
    <w:abstractNumId w:val="1768299"/>
  </w:num>
  <w:num w:numId="104">
    <w:abstractNumId w:val="1768300"/>
  </w:num>
  <w:num w:numId="105">
    <w:abstractNumId w:val="1768301"/>
  </w:num>
  <w:num w:numId="106">
    <w:abstractNumId w:val="1768302"/>
  </w:num>
  <w:num w:numId="107">
    <w:abstractNumId w:val="1768303"/>
  </w:num>
  <w:num w:numId="108">
    <w:abstractNumId w:val="1768304"/>
  </w:num>
  <w:num w:numId="109">
    <w:abstractNumId w:val="1768305"/>
  </w:num>
  <w:num w:numId="110">
    <w:abstractNumId w:val="1768306"/>
  </w:num>
  <w:num w:numId="111">
    <w:abstractNumId w:val="1768307"/>
  </w:num>
  <w:num w:numId="112">
    <w:abstractNumId w:val="1768308"/>
  </w:num>
  <w:num w:numId="113">
    <w:abstractNumId w:val="1768309"/>
  </w:num>
  <w:num w:numId="114">
    <w:abstractNumId w:val="1768310"/>
  </w:num>
  <w:num w:numId="115">
    <w:abstractNumId w:val="1768311"/>
  </w:num>
  <w:num w:numId="116">
    <w:abstractNumId w:val="1768312"/>
  </w:num>
  <w:num w:numId="117">
    <w:abstractNumId w:val="1768313"/>
  </w:num>
  <w:num w:numId="118">
    <w:abstractNumId w:val="1768314"/>
  </w:num>
  <w:num w:numId="119">
    <w:abstractNumId w:val="1768315"/>
  </w:num>
  <w:num w:numId="120">
    <w:abstractNumId w:val="1768316"/>
  </w:num>
  <w:num w:numId="121">
    <w:abstractNumId w:val="1768317"/>
  </w:num>
  <w:num w:numId="122">
    <w:abstractNumId w:val="1768318"/>
  </w:num>
  <w:num w:numId="123">
    <w:abstractNumId w:val="1768319"/>
  </w:num>
  <w:num w:numId="124">
    <w:abstractNumId w:val="1768320"/>
  </w:num>
  <w:num w:numId="125">
    <w:abstractNumId w:val="1768321"/>
  </w:num>
  <w:num w:numId="126">
    <w:abstractNumId w:val="1768322"/>
  </w:num>
  <w:num w:numId="127">
    <w:abstractNumId w:val="1768323"/>
  </w:num>
  <w:num w:numId="128">
    <w:abstractNumId w:val="1768324"/>
  </w:num>
  <w:num w:numId="129">
    <w:abstractNumId w:val="1768325"/>
  </w:num>
  <w:num w:numId="130">
    <w:abstractNumId w:val="1768326"/>
  </w:num>
  <w:num w:numId="131">
    <w:abstractNumId w:val="1768327"/>
  </w:num>
  <w:num w:numId="132">
    <w:abstractNumId w:val="1768328"/>
  </w:num>
  <w:num w:numId="133">
    <w:abstractNumId w:val="1768329"/>
  </w:num>
  <w:num w:numId="134">
    <w:abstractNumId w:val="1768330"/>
  </w:num>
  <w:num w:numId="135">
    <w:abstractNumId w:val="1768331"/>
  </w:num>
  <w:num w:numId="136">
    <w:abstractNumId w:val="1768332"/>
  </w:num>
  <w:num w:numId="137">
    <w:abstractNumId w:val="1768333"/>
  </w:num>
  <w:num w:numId="138">
    <w:abstractNumId w:val="1768334"/>
  </w:num>
  <w:num w:numId="139">
    <w:abstractNumId w:val="1768335"/>
  </w:num>
  <w:num w:numId="140">
    <w:abstractNumId w:val="1768336"/>
  </w:num>
  <w:num w:numId="141">
    <w:abstractNumId w:val="1768337"/>
  </w:num>
  <w:num w:numId="142">
    <w:abstractNumId w:val="1768338"/>
  </w:num>
  <w:num w:numId="143">
    <w:abstractNumId w:val="1768339"/>
  </w:num>
  <w:num w:numId="144">
    <w:abstractNumId w:val="1768340"/>
  </w:num>
  <w:num w:numId="145">
    <w:abstractNumId w:val="1768341"/>
  </w:num>
  <w:num w:numId="146">
    <w:abstractNumId w:val="1768342"/>
  </w:num>
  <w:num w:numId="147">
    <w:abstractNumId w:val="1768343"/>
  </w:num>
  <w:num w:numId="148">
    <w:abstractNumId w:val="1768344"/>
  </w:num>
  <w:num w:numId="149">
    <w:abstractNumId w:val="1768345"/>
  </w:num>
  <w:num w:numId="150">
    <w:abstractNumId w:val="1768346"/>
  </w:num>
  <w:num w:numId="151">
    <w:abstractNumId w:val="1768347"/>
  </w:num>
  <w:num w:numId="152">
    <w:abstractNumId w:val="1768348"/>
  </w:num>
  <w:num w:numId="153">
    <w:abstractNumId w:val="1768349"/>
  </w:num>
  <w:num w:numId="154">
    <w:abstractNumId w:val="1768350"/>
  </w:num>
  <w:num w:numId="155">
    <w:abstractNumId w:val="1768351"/>
  </w:num>
  <w:num w:numId="156">
    <w:abstractNumId w:val="1768352"/>
  </w:num>
  <w:num w:numId="157">
    <w:abstractNumId w:val="1768353"/>
  </w:num>
  <w:num w:numId="158">
    <w:abstractNumId w:val="1768354"/>
  </w:num>
  <w:num w:numId="159">
    <w:abstractNumId w:val="1768355"/>
  </w:num>
  <w:num w:numId="160">
    <w:abstractNumId w:val="1768356"/>
  </w:num>
  <w:num w:numId="161">
    <w:abstractNumId w:val="1768357"/>
  </w:num>
  <w:num w:numId="162">
    <w:abstractNumId w:val="1768358"/>
  </w:num>
  <w:num w:numId="163">
    <w:abstractNumId w:val="1768359"/>
  </w:num>
  <w:num w:numId="164">
    <w:abstractNumId w:val="1768360"/>
  </w:num>
  <w:num w:numId="165">
    <w:abstractNumId w:val="1768361"/>
  </w:num>
  <w:num w:numId="166">
    <w:abstractNumId w:val="1768362"/>
  </w:num>
  <w:num w:numId="167">
    <w:abstractNumId w:val="1768363"/>
  </w:num>
  <w:num w:numId="168">
    <w:abstractNumId w:val="1768364"/>
  </w:num>
  <w:num w:numId="169">
    <w:abstractNumId w:val="1768365"/>
  </w:num>
  <w:num w:numId="170">
    <w:abstractNumId w:val="1768366"/>
  </w:num>
  <w:num w:numId="171">
    <w:abstractNumId w:val="1768367"/>
  </w:num>
  <w:num w:numId="172">
    <w:abstractNumId w:val="1768368"/>
  </w:num>
  <w:num w:numId="173">
    <w:abstractNumId w:val="1768369"/>
  </w:num>
  <w:num w:numId="174">
    <w:abstractNumId w:val="1768370"/>
  </w:num>
  <w:num w:numId="175">
    <w:abstractNumId w:val="1768371"/>
  </w:num>
  <w:num w:numId="176">
    <w:abstractNumId w:val="1768372"/>
  </w:num>
  <w:num w:numId="177">
    <w:abstractNumId w:val="1768373"/>
  </w:num>
  <w:num w:numId="178">
    <w:abstractNumId w:val="1768374"/>
  </w:num>
  <w:num w:numId="179">
    <w:abstractNumId w:val="1768375"/>
  </w:num>
  <w:num w:numId="180">
    <w:abstractNumId w:val="1768376"/>
  </w:num>
  <w:num w:numId="181">
    <w:abstractNumId w:val="1768377"/>
  </w:num>
  <w:num w:numId="182">
    <w:abstractNumId w:val="1768378"/>
  </w:num>
  <w:num w:numId="183">
    <w:abstractNumId w:val="1768379"/>
  </w:num>
  <w:num w:numId="184">
    <w:abstractNumId w:val="1768380"/>
  </w:num>
  <w:num w:numId="185">
    <w:abstractNumId w:val="1768381"/>
  </w:num>
  <w:num w:numId="186">
    <w:abstractNumId w:val="1768382"/>
  </w:num>
  <w:num w:numId="187">
    <w:abstractNumId w:val="1768383"/>
  </w:num>
  <w:num w:numId="188">
    <w:abstractNumId w:val="1768384"/>
  </w:num>
  <w:num w:numId="189">
    <w:abstractNumId w:val="1768385"/>
  </w:num>
  <w:num w:numId="190">
    <w:abstractNumId w:val="1768386"/>
  </w:num>
  <w:num w:numId="191">
    <w:abstractNumId w:val="1768387"/>
  </w:num>
  <w:num w:numId="192">
    <w:abstractNumId w:val="1768388"/>
  </w:num>
  <w:num w:numId="193">
    <w:abstractNumId w:val="1768389"/>
  </w:num>
  <w:num w:numId="194">
    <w:abstractNumId w:val="1768390"/>
  </w:num>
  <w:num w:numId="195">
    <w:abstractNumId w:val="1768391"/>
  </w:num>
  <w:num w:numId="196">
    <w:abstractNumId w:val="1768392"/>
  </w:num>
  <w:num w:numId="197">
    <w:abstractNumId w:val="1768393"/>
  </w:num>
  <w:num w:numId="198">
    <w:abstractNumId w:val="1768394"/>
  </w:num>
  <w:num w:numId="199">
    <w:abstractNumId w:val="1768395"/>
  </w:num>
  <w:num w:numId="200">
    <w:abstractNumId w:val="1768396"/>
  </w:num>
  <w:num w:numId="201">
    <w:abstractNumId w:val="1768397"/>
  </w:num>
  <w:num w:numId="202">
    <w:abstractNumId w:val="1768398"/>
  </w:num>
  <w:num w:numId="203">
    <w:abstractNumId w:val="1768399"/>
  </w:num>
  <w:num w:numId="204">
    <w:abstractNumId w:val="1768400"/>
  </w:num>
  <w:num w:numId="205">
    <w:abstractNumId w:val="1768401"/>
  </w:num>
  <w:num w:numId="206">
    <w:abstractNumId w:val="176840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sjcj.cac.gov.cn/" TargetMode="External" Type="http://schemas.openxmlformats.org/officeDocument/2006/relationships/hyperlink"/><Relationship Id="rId6" Target="http://www.cac.gov.cn/" TargetMode="External" Type="http://schemas.openxmlformats.org/officeDocument/2006/relationships/hyperlink"/><Relationship Id="rId7" Target="http://www.cac.gov.cn/"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2026-05-30T02:18:31Z</dcterms:created>
  <dc:creator>Apache POI</dc:creator>
</cp:coreProperties>
</file>