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“14117行政令合规”功能说明与路径描述</w:t>
      </w:r>
    </w:p>
    <w:p>
      <w:pPr>
        <w:pStyle w:val="1"/>
        <w:spacing w:before="380" w:after="140" w:line="288" w:lineRule="auto"/>
        <w:ind w:left="0"/>
        <w:jc w:val="left"/>
        <w:outlineLvl w:val="0"/>
      </w:pPr>
      <w:bookmarkStart w:name="heading_0" w:id="0"/>
      <w:r>
        <w:rPr>
          <w:rFonts w:eastAsia="等线" w:ascii="Arial" w:cs="Arial" w:hAnsi="Arial"/>
          <w:b w:val="true"/>
          <w:sz w:val="36"/>
        </w:rPr>
        <w:t>用户输入</w:t>
      </w:r>
      <w:bookmarkEnd w:id="0"/>
    </w:p>
    <w:p>
      <w:pPr>
        <w:spacing w:before="120" w:after="120" w:line="288" w:lineRule="auto"/>
        <w:ind w:left="0"/>
        <w:jc w:val="left"/>
      </w:pPr>
      <w:r>
        <w:rPr>
          <w:rFonts w:eastAsia="等线" w:ascii="Arial" w:cs="Arial" w:hAnsi="Arial"/>
          <w:sz w:val="22"/>
        </w:rPr>
        <w:t>1.数据清单（类比中国框架）</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6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2.实体清单</w:t>
      </w:r>
    </w:p>
    <w:p>
      <w:pPr>
        <w:spacing w:before="120" w:after="120" w:line="288" w:lineRule="auto"/>
        <w:ind w:left="0"/>
      </w:pPr>
      <w:r>
        <w:object>
          <v:shape id="_x0000_i1026" style="width:414pt;height:85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1" w:id="1"/>
      <w:r>
        <w:rPr>
          <w:rFonts w:eastAsia="等线" w:ascii="Arial" w:cs="Arial" w:hAnsi="Arial"/>
          <w:b w:val="true"/>
          <w:sz w:val="36"/>
        </w:rPr>
        <w:t>系统输出</w:t>
      </w:r>
      <w:bookmarkEnd w:id="1"/>
    </w:p>
    <w:p>
      <w:pPr>
        <w:spacing w:before="120" w:after="120" w:line="288" w:lineRule="auto"/>
        <w:ind w:left="0"/>
        <w:jc w:val="left"/>
      </w:pPr>
      <w:r>
        <w:rPr>
          <w:rFonts w:eastAsia="等线" w:ascii="Arial" w:cs="Arial" w:hAnsi="Arial"/>
          <w:sz w:val="22"/>
        </w:rPr>
        <w:t>《14117行政令风险评估结论报告》</w:t>
      </w:r>
    </w:p>
    <w:p>
      <w:pPr>
        <w:spacing w:before="120" w:after="120" w:line="288" w:lineRule="auto"/>
        <w:ind w:left="0"/>
        <w:jc w:val="left"/>
      </w:pPr>
      <w:r>
        <w:rPr>
          <w:rFonts w:eastAsia="等线" w:ascii="Arial" w:cs="Arial" w:hAnsi="Arial"/>
          <w:sz w:val="22"/>
        </w:rPr>
        <w:t>格式为PDF/HTML，内容包含：</w:t>
      </w:r>
    </w:p>
    <w:p>
      <w:pPr>
        <w:spacing w:before="120" w:after="120" w:line="288" w:lineRule="auto"/>
        <w:ind w:left="0"/>
        <w:jc w:val="left"/>
      </w:pPr>
      <w:r>
        <w:rPr>
          <w:rFonts w:eastAsia="等线" w:ascii="Arial" w:cs="Arial" w:hAnsi="Arial"/>
          <w:sz w:val="22"/>
        </w:rPr>
        <w:t>1.总体结论与传输可行性：</w:t>
      </w:r>
    </w:p>
    <w:p>
      <w:pPr>
        <w:spacing w:before="120" w:after="120" w:line="288" w:lineRule="auto"/>
        <w:ind w:left="0"/>
        <w:jc w:val="left"/>
      </w:pPr>
      <w:r>
        <w:rPr>
          <w:rFonts w:eastAsia="等线" w:ascii="Arial" w:cs="Arial" w:hAnsi="Arial"/>
          <w:sz w:val="22"/>
        </w:rPr>
        <w:t>在报告首页以显著标签形式，给出明确的“红/黄/绿”灯结论。</w:t>
      </w:r>
    </w:p>
    <w:p>
      <w:pPr>
        <w:spacing w:before="120" w:after="120" w:line="288" w:lineRule="auto"/>
        <w:ind w:left="0"/>
        <w:jc w:val="left"/>
      </w:pPr>
      <w:r>
        <w:rPr>
          <w:rFonts w:eastAsia="等线" w:ascii="Arial" w:cs="Arial" w:hAnsi="Arial"/>
          <w:sz w:val="22"/>
        </w:rPr>
        <w:t xml:space="preserve">  ·红灯（禁止传输）：当识别出任何“明确禁止的交易”，例如向被认定为“被覆盖的人”传输“美国政府相关数据”。</w:t>
      </w:r>
    </w:p>
    <w:p>
      <w:pPr>
        <w:spacing w:before="120" w:after="120" w:line="288" w:lineRule="auto"/>
        <w:ind w:left="0"/>
        <w:jc w:val="left"/>
      </w:pPr>
      <w:r>
        <w:rPr>
          <w:rFonts w:eastAsia="等线" w:ascii="Arial" w:cs="Arial" w:hAnsi="Arial"/>
          <w:sz w:val="22"/>
        </w:rPr>
        <w:t xml:space="preserve">  ·黄灯（需采取安全措施）：当交易属于“限制性交易”，例如向“被覆盖的人”传输“批量敏感个人数据”，但可通过实施指定安全措施满足合规要求。</w:t>
      </w:r>
    </w:p>
    <w:p>
      <w:pPr>
        <w:spacing w:before="120" w:after="120" w:line="288" w:lineRule="auto"/>
        <w:ind w:left="0"/>
        <w:jc w:val="left"/>
      </w:pPr>
      <w:r>
        <w:rPr>
          <w:rFonts w:eastAsia="等线" w:ascii="Arial" w:cs="Arial" w:hAnsi="Arial"/>
          <w:sz w:val="22"/>
        </w:rPr>
        <w:t xml:space="preserve">  ·绿灯（低风险放行）：当数据接收方和数据类别均不触发14117行政令的直接管控。</w:t>
      </w:r>
    </w:p>
    <w:p>
      <w:pPr>
        <w:spacing w:before="120" w:after="120" w:line="288" w:lineRule="auto"/>
        <w:ind w:left="0"/>
        <w:jc w:val="left"/>
      </w:pPr>
      <w:r>
        <w:rPr>
          <w:rFonts w:eastAsia="等线" w:ascii="Arial" w:cs="Arial" w:hAnsi="Arial"/>
          <w:sz w:val="22"/>
        </w:rPr>
        <w:t>2.风险详情与分析：</w:t>
      </w:r>
    </w:p>
    <w:p>
      <w:pPr>
        <w:spacing w:before="120" w:after="120" w:line="288" w:lineRule="auto"/>
        <w:ind w:left="0"/>
        <w:jc w:val="left"/>
      </w:pPr>
      <w:r>
        <w:rPr>
          <w:rFonts w:eastAsia="等线" w:ascii="Arial" w:cs="Arial" w:hAnsi="Arial"/>
          <w:sz w:val="22"/>
        </w:rPr>
        <w:t>高风险实体清单：列出所有被识别为“被覆盖的人”的实体，并说明判定依据（如：股权结构显示由关注国控股、注册在关注国、受该国法律管辖等）。</w:t>
      </w:r>
    </w:p>
    <w:p>
      <w:pPr>
        <w:spacing w:before="120" w:after="120" w:line="288" w:lineRule="auto"/>
        <w:ind w:left="0"/>
        <w:jc w:val="left"/>
      </w:pPr>
      <w:r>
        <w:rPr>
          <w:rFonts w:eastAsia="等线" w:ascii="Arial" w:cs="Arial" w:hAnsi="Arial"/>
          <w:sz w:val="22"/>
        </w:rPr>
        <w:t>敏感数据分布：以表格和图表形式，展示各类“批量敏感个人数据”和“美国政府相关数据”在业务系统中的存量、涉及的数据主体规模，以及计划出境的体量。</w:t>
      </w:r>
    </w:p>
    <w:p>
      <w:pPr>
        <w:spacing w:before="120" w:after="120" w:line="288" w:lineRule="auto"/>
        <w:ind w:left="0"/>
        <w:jc w:val="left"/>
      </w:pPr>
      <w:r>
        <w:rPr>
          <w:rFonts w:eastAsia="等线" w:ascii="Arial" w:cs="Arial" w:hAnsi="Arial"/>
          <w:sz w:val="22"/>
        </w:rPr>
        <w:t>风险匹配矩阵：清晰展示“哪些高风险实体”计划接收“哪些类别的敏感数据”，直观暴露最高风险的传输路径。</w:t>
      </w:r>
    </w:p>
    <w:p>
      <w:pPr>
        <w:spacing w:before="120" w:after="120" w:line="288" w:lineRule="auto"/>
        <w:ind w:left="0"/>
        <w:jc w:val="left"/>
      </w:pPr>
      <w:r>
        <w:rPr>
          <w:rFonts w:eastAsia="等线" w:ascii="Arial" w:cs="Arial" w:hAnsi="Arial"/>
          <w:sz w:val="22"/>
        </w:rPr>
        <w:t>3.合规措施建议与行动清单</w:t>
      </w:r>
    </w:p>
    <w:p>
      <w:pPr>
        <w:pStyle w:val="1"/>
        <w:spacing w:before="380" w:after="140" w:line="288" w:lineRule="auto"/>
        <w:ind w:left="0"/>
        <w:jc w:val="left"/>
        <w:outlineLvl w:val="0"/>
      </w:pPr>
      <w:bookmarkStart w:name="heading_2" w:id="2"/>
      <w:r>
        <w:rPr>
          <w:rFonts w:eastAsia="等线" w:ascii="Arial" w:cs="Arial" w:hAnsi="Arial"/>
          <w:b w:val="true"/>
          <w:sz w:val="36"/>
        </w:rPr>
        <w:t>输出依据：</w:t>
      </w:r>
      <w:bookmarkEnd w:id="2"/>
    </w:p>
    <w:p>
      <w:pPr>
        <w:spacing w:before="120" w:after="120" w:line="288" w:lineRule="auto"/>
        <w:ind w:left="0"/>
        <w:jc w:val="left"/>
      </w:pPr>
      <w:r>
        <w:rPr>
          <w:rFonts w:eastAsia="等线" w:ascii="Arial" w:cs="Arial" w:hAnsi="Arial"/>
          <w:sz w:val="22"/>
        </w:rPr>
        <w:t>“14117行政令合规”功能的输出依据，核心是美国为应对特定国家获取其公民敏感数据所构成的国家安全风险，而颁布的</w:t>
      </w:r>
      <w:r>
        <w:rPr>
          <w:rFonts w:eastAsia="等线" w:ascii="Arial" w:cs="Arial" w:hAnsi="Arial"/>
          <w:b w:val="true"/>
          <w:sz w:val="22"/>
        </w:rPr>
        <w:t>总统行政命令及配套实施的联邦法规</w:t>
      </w:r>
      <w:r>
        <w:rPr>
          <w:rFonts w:eastAsia="等线" w:ascii="Arial" w:cs="Arial" w:hAnsi="Arial"/>
          <w:sz w:val="22"/>
        </w:rPr>
        <w:t>。该功能旨在帮助企业评估向特定国家或实体传输数据时，是否违反美国的相关禁令。</w:t>
      </w:r>
    </w:p>
    <w:p>
      <w:pPr>
        <w:spacing w:before="120" w:after="120" w:line="288" w:lineRule="auto"/>
        <w:ind w:left="0"/>
        <w:jc w:val="left"/>
      </w:pPr>
      <w:r>
        <w:rPr>
          <w:rFonts w:eastAsia="等线" w:ascii="Arial" w:cs="Arial" w:hAnsi="Arial"/>
          <w:sz w:val="22"/>
        </w:rPr>
        <w:t>以下是系统生成《14117行政令风险评估结论报告》所依据的</w:t>
      </w:r>
      <w:r>
        <w:rPr>
          <w:rFonts w:eastAsia="等线" w:ascii="Arial" w:cs="Arial" w:hAnsi="Arial"/>
          <w:b w:val="true"/>
          <w:sz w:val="22"/>
        </w:rPr>
        <w:t>全部现行有效</w:t>
      </w:r>
      <w:r>
        <w:rPr>
          <w:rFonts w:eastAsia="等线" w:ascii="Arial" w:cs="Arial" w:hAnsi="Arial"/>
          <w:sz w:val="22"/>
        </w:rPr>
        <w:t>的法律法规、规则及官方指南清单：</w:t>
      </w:r>
    </w:p>
    <w:p>
      <w:pPr>
        <w:pStyle w:val="3"/>
        <w:spacing w:before="300" w:after="120" w:line="288" w:lineRule="auto"/>
        <w:ind w:left="0"/>
        <w:jc w:val="left"/>
        <w:outlineLvl w:val="2"/>
      </w:pPr>
      <w:bookmarkStart w:name="heading_3" w:id="3"/>
      <w:r>
        <w:rPr>
          <w:rFonts w:eastAsia="等线" w:ascii="Arial" w:cs="Arial" w:hAnsi="Arial"/>
          <w:b w:val="true"/>
          <w:sz w:val="30"/>
        </w:rPr>
        <w:t xml:space="preserve">“14117行政令合规”功能输出依据清单 </w:t>
      </w:r>
      <w:bookmarkEnd w:id="3"/>
    </w:p>
    <w:p>
      <w:pPr>
        <w:spacing w:before="120" w:after="120" w:line="288" w:lineRule="auto"/>
        <w:ind w:left="0"/>
      </w:pPr>
      <w:r>
        <w:object>
          <v:shape id="_x0000_i1027" style="width:414pt;height:197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 w:id="4"/>
      <w:r>
        <w:rPr>
          <w:rFonts w:eastAsia="等线" w:ascii="Arial" w:cs="Arial" w:hAnsi="Arial"/>
          <w:b w:val="true"/>
          <w:sz w:val="30"/>
        </w:rPr>
        <w:t xml:space="preserve">依据文件与系统输出逻辑的映射 </w:t>
      </w:r>
      <w:bookmarkEnd w:id="4"/>
    </w:p>
    <w:p>
      <w:pPr>
        <w:spacing w:before="120" w:after="120" w:line="288" w:lineRule="auto"/>
        <w:ind w:left="0"/>
        <w:jc w:val="left"/>
      </w:pPr>
      <w:r>
        <w:rPr>
          <w:rFonts w:eastAsia="等线" w:ascii="Arial" w:cs="Arial" w:hAnsi="Arial"/>
          <w:sz w:val="22"/>
        </w:rPr>
        <w:t>系统根据上述依据，将用户输入（数据清单、实体清单）转化为结构化的风险评估报告：</w:t>
      </w:r>
    </w:p>
    <w:p>
      <w:pPr>
        <w:numPr>
          <w:numId w:val="1"/>
        </w:numPr>
        <w:spacing w:before="120" w:after="120" w:line="288" w:lineRule="auto"/>
        <w:ind w:left="0"/>
        <w:jc w:val="left"/>
      </w:pPr>
      <w:r>
        <w:rPr>
          <w:rFonts w:eastAsia="等线" w:ascii="Arial" w:cs="Arial" w:hAnsi="Arial"/>
          <w:b w:val="true"/>
          <w:sz w:val="22"/>
        </w:rPr>
        <w:t>“总体结论与传输可行性”模块</w:t>
      </w:r>
      <w:r>
        <w:rPr>
          <w:rFonts w:eastAsia="等线" w:ascii="Arial" w:cs="Arial" w:hAnsi="Arial"/>
          <w:sz w:val="22"/>
        </w:rPr>
        <w:t>：</w:t>
      </w:r>
    </w:p>
    <w:p>
      <w:pPr>
        <w:numPr>
          <w:numId w:val="2"/>
        </w:numPr>
        <w:spacing w:before="120" w:after="120" w:line="288" w:lineRule="auto"/>
        <w:ind w:left="453"/>
        <w:jc w:val="left"/>
      </w:pPr>
      <w:r>
        <w:rPr>
          <w:rFonts w:eastAsia="等线" w:ascii="Arial" w:cs="Arial" w:hAnsi="Arial"/>
          <w:b w:val="true"/>
          <w:sz w:val="22"/>
        </w:rPr>
        <w:t>红灯结论</w:t>
      </w:r>
      <w:r>
        <w:rPr>
          <w:rFonts w:eastAsia="等线" w:ascii="Arial" w:cs="Arial" w:hAnsi="Arial"/>
          <w:sz w:val="22"/>
        </w:rPr>
        <w:t xml:space="preserve">：依据 </w:t>
      </w:r>
      <w:r>
        <w:rPr>
          <w:rFonts w:eastAsia="等线" w:ascii="Arial" w:cs="Arial" w:hAnsi="Arial"/>
          <w:b w:val="true"/>
          <w:sz w:val="22"/>
        </w:rPr>
        <w:t>最终规则 § 100.2</w:t>
      </w:r>
      <w:r>
        <w:rPr>
          <w:rFonts w:eastAsia="等线" w:ascii="Arial" w:cs="Arial" w:hAnsi="Arial"/>
          <w:sz w:val="22"/>
        </w:rPr>
        <w:t>。当系统识别出任何计划向“涵盖人员”传输“美国政府相关数据”的交易，或进行被禁止的“数据经纪交易”时触发。</w:t>
      </w:r>
    </w:p>
    <w:p>
      <w:pPr>
        <w:numPr>
          <w:numId w:val="3"/>
        </w:numPr>
        <w:spacing w:before="120" w:after="120" w:line="288" w:lineRule="auto"/>
        <w:ind w:left="453"/>
        <w:jc w:val="left"/>
      </w:pPr>
      <w:r>
        <w:rPr>
          <w:rFonts w:eastAsia="等线" w:ascii="Arial" w:cs="Arial" w:hAnsi="Arial"/>
          <w:b w:val="true"/>
          <w:sz w:val="22"/>
        </w:rPr>
        <w:t>黄灯结论</w:t>
      </w:r>
      <w:r>
        <w:rPr>
          <w:rFonts w:eastAsia="等线" w:ascii="Arial" w:cs="Arial" w:hAnsi="Arial"/>
          <w:sz w:val="22"/>
        </w:rPr>
        <w:t xml:space="preserve">：依据 </w:t>
      </w:r>
      <w:r>
        <w:rPr>
          <w:rFonts w:eastAsia="等线" w:ascii="Arial" w:cs="Arial" w:hAnsi="Arial"/>
          <w:b w:val="true"/>
          <w:sz w:val="22"/>
        </w:rPr>
        <w:t>最终规则 § 100.3</w:t>
      </w:r>
      <w:r>
        <w:rPr>
          <w:rFonts w:eastAsia="等线" w:ascii="Arial" w:cs="Arial" w:hAnsi="Arial"/>
          <w:sz w:val="22"/>
        </w:rPr>
        <w:t>。当交易属于向“涵盖人员”提供“批量敏感个人数据”的“限制性交易”（如通过雇佣或供应商关系）时触发。</w:t>
      </w:r>
    </w:p>
    <w:p>
      <w:pPr>
        <w:numPr>
          <w:numId w:val="4"/>
        </w:numPr>
        <w:spacing w:before="120" w:after="120" w:line="288" w:lineRule="auto"/>
        <w:ind w:left="453"/>
        <w:jc w:val="left"/>
      </w:pPr>
      <w:r>
        <w:rPr>
          <w:rFonts w:eastAsia="等线" w:ascii="Arial" w:cs="Arial" w:hAnsi="Arial"/>
          <w:b w:val="true"/>
          <w:sz w:val="22"/>
        </w:rPr>
        <w:t>绿灯结论</w:t>
      </w:r>
      <w:r>
        <w:rPr>
          <w:rFonts w:eastAsia="等线" w:ascii="Arial" w:cs="Arial" w:hAnsi="Arial"/>
          <w:sz w:val="22"/>
        </w:rPr>
        <w:t>：当接收方不属于“涵盖人员”，或传输的数据既非“美国政府相关数据”也未达到“批量敏感个人数据”阈值时得出。</w:t>
      </w:r>
    </w:p>
    <w:p>
      <w:pPr>
        <w:numPr>
          <w:numId w:val="5"/>
        </w:numPr>
        <w:spacing w:before="120" w:after="120" w:line="288" w:lineRule="auto"/>
        <w:ind w:left="0"/>
        <w:jc w:val="left"/>
      </w:pPr>
      <w:r>
        <w:rPr>
          <w:rFonts w:eastAsia="等线" w:ascii="Arial" w:cs="Arial" w:hAnsi="Arial"/>
          <w:b w:val="true"/>
          <w:sz w:val="22"/>
        </w:rPr>
        <w:t>“风险详情与分析”模块</w:t>
      </w:r>
      <w:r>
        <w:rPr>
          <w:rFonts w:eastAsia="等线" w:ascii="Arial" w:cs="Arial" w:hAnsi="Arial"/>
          <w:sz w:val="22"/>
        </w:rPr>
        <w:t>：</w:t>
      </w:r>
    </w:p>
    <w:p>
      <w:pPr>
        <w:numPr>
          <w:numId w:val="6"/>
        </w:numPr>
        <w:spacing w:before="120" w:after="120" w:line="288" w:lineRule="auto"/>
        <w:ind w:left="453"/>
        <w:jc w:val="left"/>
      </w:pPr>
      <w:r>
        <w:rPr>
          <w:rFonts w:eastAsia="等线" w:ascii="Arial" w:cs="Arial" w:hAnsi="Arial"/>
          <w:b w:val="true"/>
          <w:sz w:val="22"/>
        </w:rPr>
        <w:t>高风险实体清单</w:t>
      </w:r>
      <w:r>
        <w:rPr>
          <w:rFonts w:eastAsia="等线" w:ascii="Arial" w:cs="Arial" w:hAnsi="Arial"/>
          <w:sz w:val="22"/>
        </w:rPr>
        <w:t xml:space="preserve">：依据 </w:t>
      </w:r>
      <w:r>
        <w:rPr>
          <w:rFonts w:eastAsia="等线" w:ascii="Arial" w:cs="Arial" w:hAnsi="Arial"/>
          <w:b w:val="true"/>
          <w:sz w:val="22"/>
        </w:rPr>
        <w:t>最终规则 § 100.1 中“涵盖人员”的定义</w:t>
      </w:r>
      <w:r>
        <w:rPr>
          <w:rFonts w:eastAsia="等线" w:ascii="Arial" w:cs="Arial" w:hAnsi="Arial"/>
          <w:sz w:val="22"/>
        </w:rPr>
        <w:t>。系统比对用户输入的“外部实体清单”和“内部员工清单”，根据注册地、股权结构、员工国籍/常驻地等，标记出所有“涵盖人员”。</w:t>
      </w:r>
    </w:p>
    <w:p>
      <w:pPr>
        <w:numPr>
          <w:numId w:val="7"/>
        </w:numPr>
        <w:spacing w:before="120" w:after="120" w:line="288" w:lineRule="auto"/>
        <w:ind w:left="453"/>
        <w:jc w:val="left"/>
      </w:pPr>
      <w:r>
        <w:rPr>
          <w:rFonts w:eastAsia="等线" w:ascii="Arial" w:cs="Arial" w:hAnsi="Arial"/>
          <w:b w:val="true"/>
          <w:sz w:val="22"/>
        </w:rPr>
        <w:t>敏感数据分布</w:t>
      </w:r>
      <w:r>
        <w:rPr>
          <w:rFonts w:eastAsia="等线" w:ascii="Arial" w:cs="Arial" w:hAnsi="Arial"/>
          <w:sz w:val="22"/>
        </w:rPr>
        <w:t xml:space="preserve">：依据 </w:t>
      </w:r>
      <w:r>
        <w:rPr>
          <w:rFonts w:eastAsia="等线" w:ascii="Arial" w:cs="Arial" w:hAnsi="Arial"/>
          <w:b w:val="true"/>
          <w:sz w:val="22"/>
        </w:rPr>
        <w:t>最终规则 § 100.1 中“批量敏感个人数据”的类别和阈值定义</w:t>
      </w:r>
      <w:r>
        <w:rPr>
          <w:rFonts w:eastAsia="等线" w:ascii="Arial" w:cs="Arial" w:hAnsi="Arial"/>
          <w:sz w:val="22"/>
        </w:rPr>
        <w:t>。系统分析用户上传的“数据清单”，统计每类敏感数据涉及的美国人数，并与法定阈值对比，以图表形式展示风险数据存量。</w:t>
      </w:r>
    </w:p>
    <w:p>
      <w:pPr>
        <w:numPr>
          <w:numId w:val="8"/>
        </w:numPr>
        <w:spacing w:before="120" w:after="120" w:line="288" w:lineRule="auto"/>
        <w:ind w:left="453"/>
        <w:jc w:val="left"/>
      </w:pPr>
      <w:r>
        <w:rPr>
          <w:rFonts w:eastAsia="等线" w:ascii="Arial" w:cs="Arial" w:hAnsi="Arial"/>
          <w:b w:val="true"/>
          <w:sz w:val="22"/>
        </w:rPr>
        <w:t>风险匹配矩阵</w:t>
      </w:r>
      <w:r>
        <w:rPr>
          <w:rFonts w:eastAsia="等线" w:ascii="Arial" w:cs="Arial" w:hAnsi="Arial"/>
          <w:sz w:val="22"/>
        </w:rPr>
        <w:t>：综合以上两点，直观展示“哪些涵盖人员（行）”计划访问“哪些类别的风险数据（列）”，从而暴露最高风险的传输路径。</w:t>
      </w:r>
    </w:p>
    <w:p>
      <w:pPr>
        <w:numPr>
          <w:numId w:val="9"/>
        </w:numPr>
        <w:spacing w:before="120" w:after="120" w:line="288" w:lineRule="auto"/>
        <w:ind w:left="0"/>
        <w:jc w:val="left"/>
      </w:pPr>
      <w:r>
        <w:rPr>
          <w:rFonts w:eastAsia="等线" w:ascii="Arial" w:cs="Arial" w:hAnsi="Arial"/>
          <w:b w:val="true"/>
          <w:sz w:val="22"/>
        </w:rPr>
        <w:t>“合规措施建议与行动清单”模块</w:t>
      </w:r>
      <w:r>
        <w:rPr>
          <w:rFonts w:eastAsia="等线" w:ascii="Arial" w:cs="Arial" w:hAnsi="Arial"/>
          <w:sz w:val="22"/>
        </w:rPr>
        <w:t>：</w:t>
      </w:r>
    </w:p>
    <w:p>
      <w:pPr>
        <w:numPr>
          <w:numId w:val="10"/>
        </w:numPr>
        <w:spacing w:before="120" w:after="120" w:line="288" w:lineRule="auto"/>
        <w:ind w:left="453"/>
        <w:jc w:val="left"/>
      </w:pPr>
      <w:r>
        <w:rPr>
          <w:rFonts w:eastAsia="等线" w:ascii="Arial" w:cs="Arial" w:hAnsi="Arial"/>
          <w:sz w:val="22"/>
        </w:rPr>
        <w:t xml:space="preserve">对于“黄灯”场景，建议的措施将参考 </w:t>
      </w:r>
      <w:r>
        <w:rPr>
          <w:rFonts w:eastAsia="等线" w:ascii="Arial" w:cs="Arial" w:hAnsi="Arial"/>
          <w:b w:val="true"/>
          <w:sz w:val="22"/>
        </w:rPr>
        <w:t>最终规则 § 100.3 所要求的安全措施框架</w:t>
      </w:r>
      <w:r>
        <w:rPr>
          <w:rFonts w:eastAsia="等线" w:ascii="Arial" w:cs="Arial" w:hAnsi="Arial"/>
          <w:sz w:val="22"/>
        </w:rPr>
        <w:t>，例如：实施数据加密、严格的访问控制和身份验证、活动日志记录与审计、人员安全培训等。</w:t>
      </w:r>
    </w:p>
    <w:p>
      <w:pPr>
        <w:numPr>
          <w:numId w:val="11"/>
        </w:numPr>
        <w:spacing w:before="120" w:after="120" w:line="288" w:lineRule="auto"/>
        <w:ind w:left="453"/>
        <w:jc w:val="left"/>
      </w:pPr>
      <w:r>
        <w:rPr>
          <w:rFonts w:eastAsia="等线" w:ascii="Arial" w:cs="Arial" w:hAnsi="Arial"/>
          <w:sz w:val="22"/>
        </w:rPr>
        <w:t>行动清单会引导用户采取步骤以满足这些要求，或调整业务方案以避免风险。</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595599">
    <w:lvl>
      <w:start w:val="1"/>
      <w:numFmt w:val="decimal"/>
      <w:suff w:val="tab"/>
      <w:lvlText w:val="%1."/>
      <w:rPr>
        <w:color w:val="3370ff"/>
      </w:rPr>
    </w:lvl>
  </w:abstractNum>
  <w:abstractNum w:abstractNumId="2595600">
    <w:lvl>
      <w:numFmt w:val="bullet"/>
      <w:suff w:val="tab"/>
      <w:lvlText w:val="￮"/>
      <w:rPr>
        <w:color w:val="3370ff"/>
      </w:rPr>
    </w:lvl>
  </w:abstractNum>
  <w:abstractNum w:abstractNumId="2595601">
    <w:lvl>
      <w:numFmt w:val="bullet"/>
      <w:suff w:val="tab"/>
      <w:lvlText w:val="￮"/>
      <w:rPr>
        <w:color w:val="3370ff"/>
      </w:rPr>
    </w:lvl>
  </w:abstractNum>
  <w:abstractNum w:abstractNumId="2595602">
    <w:lvl>
      <w:numFmt w:val="bullet"/>
      <w:suff w:val="tab"/>
      <w:lvlText w:val="￮"/>
      <w:rPr>
        <w:color w:val="3370ff"/>
      </w:rPr>
    </w:lvl>
  </w:abstractNum>
  <w:abstractNum w:abstractNumId="2595603">
    <w:lvl>
      <w:start w:val="2"/>
      <w:numFmt w:val="decimal"/>
      <w:suff w:val="tab"/>
      <w:lvlText w:val="%1."/>
      <w:rPr>
        <w:color w:val="3370ff"/>
      </w:rPr>
    </w:lvl>
  </w:abstractNum>
  <w:abstractNum w:abstractNumId="2595604">
    <w:lvl>
      <w:numFmt w:val="bullet"/>
      <w:suff w:val="tab"/>
      <w:lvlText w:val="￮"/>
      <w:rPr>
        <w:color w:val="3370ff"/>
      </w:rPr>
    </w:lvl>
  </w:abstractNum>
  <w:abstractNum w:abstractNumId="2595605">
    <w:lvl>
      <w:numFmt w:val="bullet"/>
      <w:suff w:val="tab"/>
      <w:lvlText w:val="￮"/>
      <w:rPr>
        <w:color w:val="3370ff"/>
      </w:rPr>
    </w:lvl>
  </w:abstractNum>
  <w:abstractNum w:abstractNumId="2595606">
    <w:lvl>
      <w:numFmt w:val="bullet"/>
      <w:suff w:val="tab"/>
      <w:lvlText w:val="￮"/>
      <w:rPr>
        <w:color w:val="3370ff"/>
      </w:rPr>
    </w:lvl>
  </w:abstractNum>
  <w:abstractNum w:abstractNumId="2595607">
    <w:lvl>
      <w:start w:val="3"/>
      <w:numFmt w:val="decimal"/>
      <w:suff w:val="tab"/>
      <w:lvlText w:val="%1."/>
      <w:rPr>
        <w:color w:val="3370ff"/>
      </w:rPr>
    </w:lvl>
  </w:abstractNum>
  <w:abstractNum w:abstractNumId="2595608">
    <w:lvl>
      <w:numFmt w:val="bullet"/>
      <w:suff w:val="tab"/>
      <w:lvlText w:val="￮"/>
      <w:rPr>
        <w:color w:val="3370ff"/>
      </w:rPr>
    </w:lvl>
  </w:abstractNum>
  <w:abstractNum w:abstractNumId="2595609">
    <w:lvl>
      <w:numFmt w:val="bullet"/>
      <w:suff w:val="tab"/>
      <w:lvlText w:val="￮"/>
      <w:rPr>
        <w:color w:val="3370ff"/>
      </w:rPr>
    </w:lvl>
  </w:abstractNum>
  <w:num w:numId="1">
    <w:abstractNumId w:val="2595599"/>
  </w:num>
  <w:num w:numId="2">
    <w:abstractNumId w:val="2595600"/>
  </w:num>
  <w:num w:numId="3">
    <w:abstractNumId w:val="2595601"/>
  </w:num>
  <w:num w:numId="4">
    <w:abstractNumId w:val="2595602"/>
  </w:num>
  <w:num w:numId="5">
    <w:abstractNumId w:val="2595603"/>
  </w:num>
  <w:num w:numId="6">
    <w:abstractNumId w:val="2595604"/>
  </w:num>
  <w:num w:numId="7">
    <w:abstractNumId w:val="2595605"/>
  </w:num>
  <w:num w:numId="8">
    <w:abstractNumId w:val="2595606"/>
  </w:num>
  <w:num w:numId="9">
    <w:abstractNumId w:val="2595607"/>
  </w:num>
  <w:num w:numId="10">
    <w:abstractNumId w:val="2595608"/>
  </w:num>
  <w:num w:numId="11">
    <w:abstractNumId w:val="259560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2026-05-30T06:15:37Z</dcterms:created>
  <dc:creator>Apache POI</dc:creator>
</cp:coreProperties>
</file>