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美国数据出境路径Reference库清单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以下是“数规通”中与美国数据出境路径相关的法律法规、行政命令、国际框架及重要指南文件的</w:t>
      </w:r>
      <w:r>
        <w:rPr>
          <w:rFonts w:eastAsia="等线" w:ascii="Arial" w:cs="Arial" w:hAnsi="Arial"/>
          <w:b w:val="true"/>
          <w:sz w:val="22"/>
        </w:rPr>
        <w:t>中英文名称对照清单</w:t>
      </w:r>
      <w:r>
        <w:rPr>
          <w:rFonts w:eastAsia="等线" w:ascii="Arial" w:cs="Arial" w:hAnsi="Arial"/>
          <w:sz w:val="22"/>
        </w:rPr>
        <w:t>。这些文件共同构成了美国数据跨境传输的复杂监管环境，涉及国家安全、执法访问、隐私保护、行业监管等多个维度。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 xml:space="preserve">一、联邦法律与法规（Federal Laws and Regulations） </w:t>
      </w:r>
      <w:bookmarkEnd w:id="0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 xml:space="preserve">二、州级隐私法律（State Privacy Laws） 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（注：以下州法均包含对向“第三方”或“服务提供商/处理器”传输数据的规制，构成数据在美国国内及出境至境外实体的重要合规节点）</w:t>
      </w:r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 xml:space="preserve">三、国际数据传输框架与协议（International Data Transfer Frameworks &amp; Agreements） </w:t>
      </w:r>
      <w:bookmarkEnd w:id="2"/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9" o:title=""/>
          </v:shape>
          <o:OLEObject DrawAspect="Icon" ObjectID="_1718471221" ProgID="Excel.Sheet.12" ShapeID="_x0000_i1027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 xml:space="preserve">四、总统行政命令（Executive Orders） </w:t>
      </w:r>
      <w:bookmarkEnd w:id="3"/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1" o:title=""/>
          </v:shape>
          <o:OLEObject DrawAspect="Icon" ObjectID="_1718471222" ProgID="Excel.Sheet.12" ShapeID="_x0000_i1028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 xml:space="preserve">五、部门规则与指南（Agency Rules &amp; Guidance） </w:t>
      </w:r>
      <w:bookmarkEnd w:id="4"/>
    </w:p>
    <w:p>
      <w:pPr>
        <w:spacing w:before="120" w:after="120" w:line="288" w:lineRule="auto"/>
        <w:ind w:left="0"/>
      </w:pPr>
      <w:r>
        <w:object>
          <v:shape id="_x0000_i1029" style="width:414pt;height:197pt;mso-width-percent:0;mso-height-percent:0;mso-width-percent:0;mso-height-percent:0" type="#_x0000_t75" o:ole="">
            <v:imagedata r:id="rId13" o:title=""/>
          </v:shape>
          <o:OLEObject DrawAspect="Icon" ObjectID="_1718471223" ProgID="Excel.Sheet.12" ShapeID="_x0000_i1029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 xml:space="preserve">六、标准与框架（Standards &amp; Frameworks） </w:t>
      </w:r>
      <w:bookmarkEnd w:id="5"/>
    </w:p>
    <w:p>
      <w:pPr>
        <w:spacing w:before="120" w:after="120" w:line="288" w:lineRule="auto"/>
        <w:ind w:left="0"/>
      </w:pPr>
      <w:r>
        <w:object>
          <v:shape id="_x0000_i1030" style="width:414pt;height:197pt;mso-width-percent:0;mso-height-percent:0;mso-width-percent:0;mso-height-percent:0" type="#_x0000_t75" o:ole="">
            <v:imagedata r:id="rId15" o:title=""/>
          </v:shape>
          <o:OLEObject DrawAspect="Icon" ObjectID="_1718471224" ProgID="Excel.Sheet.12" ShapeID="_x0000_i1030" Type="Embed" r:id="rId1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4.xlsx" Type="http://schemas.openxmlformats.org/officeDocument/2006/relationships/package"/><Relationship Id="rId11" Target="media/image4.png" Type="http://schemas.openxmlformats.org/officeDocument/2006/relationships/image"/><Relationship Id="rId12" Target="embeddings/Microsoft_Excel_Worksheet5.xlsx" Type="http://schemas.openxmlformats.org/officeDocument/2006/relationships/package"/><Relationship Id="rId13" Target="media/image5.png" Type="http://schemas.openxmlformats.org/officeDocument/2006/relationships/image"/><Relationship Id="rId14" Target="embeddings/Microsoft_Excel_Worksheet6.xlsx" Type="http://schemas.openxmlformats.org/officeDocument/2006/relationships/package"/><Relationship Id="rId15" Target="media/image6.png" Type="http://schemas.openxmlformats.org/officeDocument/2006/relationships/image"/><Relationship Id="rId16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embeddings/Microsoft_Excel_Worksheet3.xlsx" Type="http://schemas.openxmlformats.org/officeDocument/2006/relationships/pack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2026-05-30T06:27:22Z</dcterms:created>
  <dc:creator>Apache POI</dc:creator>
</cp:coreProperties>
</file>