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对华数据流动合规报告（美国视角，草案）</w:t>
      </w:r>
    </w:p>
    <w:p/>
    <w:p>
      <w:r>
        <w:t>版本：Draft v1.0</w:t>
      </w:r>
    </w:p>
    <w:p/>
    <w:p>
      <w:pPr>
        <w:pStyle w:val="Heading2"/>
      </w:pPr>
      <w:r>
        <w:t>1. 业务与传输概览</w:t>
      </w:r>
    </w:p>
    <w:p>
      <w:r>
        <w:t>{{business_overview}}</w:t>
      </w:r>
    </w:p>
    <w:p/>
    <w:p>
      <w:pPr>
        <w:pStyle w:val="Heading2"/>
      </w:pPr>
      <w:r>
        <w:t>2. 数据清单分析</w:t>
      </w:r>
    </w:p>
    <w:p>
      <w:r>
        <w:t>{{data_inventory_analysis}}</w:t>
      </w:r>
    </w:p>
    <w:p/>
    <w:p>
      <w:pPr>
        <w:pStyle w:val="Heading2"/>
      </w:pPr>
      <w:r>
        <w:t>3. 实体清单与受限对象筛查</w:t>
      </w:r>
    </w:p>
    <w:p>
      <w:r>
        <w:t>{{entity_screening}}</w:t>
      </w:r>
    </w:p>
    <w:p/>
    <w:p>
      <w:pPr>
        <w:pStyle w:val="Heading2"/>
      </w:pPr>
      <w:r>
        <w:t>4. 风险评级</w:t>
      </w:r>
    </w:p>
    <w:p>
      <w:r>
        <w:t>{{risk_rating}}</w:t>
      </w:r>
    </w:p>
    <w:p/>
    <w:p>
      <w:pPr>
        <w:pStyle w:val="Heading2"/>
      </w:pPr>
      <w:r>
        <w:t>5. 缓释措施与执行建议</w:t>
      </w:r>
    </w:p>
    <w:p>
      <w:r>
        <w:t>{{mitigation_and_actions}}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