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DPIA 草案</w:t>
      </w:r>
    </w:p>
    <w:p/>
    <w:p>
      <w:r>
        <w:t>版本：v0-placeholder</w:t>
      </w:r>
    </w:p>
    <w:p/>
    <w:p>
      <w:pPr>
        <w:pStyle w:val="Heading2"/>
      </w:pPr>
      <w:r>
        <w:t>1. Processing Description</w:t>
      </w:r>
    </w:p>
    <w:p>
      <w:r>
        <w:t>{{processing_description}}</w:t>
      </w:r>
    </w:p>
    <w:p/>
    <w:p>
      <w:pPr>
        <w:pStyle w:val="Heading2"/>
      </w:pPr>
      <w:r>
        <w:t>2. Purpose and Necessity</w:t>
      </w:r>
    </w:p>
    <w:p>
      <w:r>
        <w:t>{{purpose_necessity}}</w:t>
      </w:r>
    </w:p>
    <w:p/>
    <w:p>
      <w:pPr>
        <w:pStyle w:val="Heading2"/>
      </w:pPr>
      <w:r>
        <w:t>3. Lawful Basis</w:t>
      </w:r>
    </w:p>
    <w:p>
      <w:r>
        <w:t>{{lawful_basis}}</w:t>
      </w:r>
    </w:p>
    <w:p/>
    <w:p>
      <w:pPr>
        <w:pStyle w:val="Heading2"/>
      </w:pPr>
      <w:r>
        <w:t>4. Risk Assessment</w:t>
      </w:r>
    </w:p>
    <w:p>
      <w:r>
        <w:t>{{risk_assessment}}</w:t>
      </w:r>
    </w:p>
    <w:p/>
    <w:p>
      <w:pPr>
        <w:pStyle w:val="Heading2"/>
      </w:pPr>
      <w:r>
        <w:t>5. Mitigation Measures</w:t>
      </w:r>
    </w:p>
    <w:p>
      <w:r>
        <w:t>{{mitigation_measures}}</w:t>
      </w:r>
    </w:p>
    <w:p/>
    <w:p>
      <w:pPr>
        <w:pStyle w:val="Heading2"/>
      </w:pPr>
      <w:r>
        <w:t>6. Residual Risk and Sign-off</w:t>
      </w:r>
    </w:p>
    <w:p>
      <w:r>
        <w:t>{{residual_risk_and_signoff}}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