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SCC 合规审查报告</w:t>
      </w:r>
    </w:p>
    <w:p/>
    <w:p>
      <w:r>
        <w:t>版本：Draft v1.0</w:t>
      </w:r>
    </w:p>
    <w:p/>
    <w:p>
      <w:pPr>
        <w:pStyle w:val="Heading2"/>
      </w:pPr>
      <w:r>
        <w:t>1. 审查对象</w:t>
      </w:r>
    </w:p>
    <w:p>
      <w:pPr>
        <w:pStyle w:val="ListBullet"/>
      </w:pPr>
      <w:r/>
      <w:r>
        <w:t>合同名称：f_44b822ace2f64e5b_数据合规合同样例.docx</w:t>
      </w:r>
    </w:p>
    <w:p>
      <w:pPr>
        <w:pStyle w:val="ListBullet"/>
      </w:pPr>
      <w:r/>
      <w:r>
        <w:t>版本：draft-v1</w:t>
      </w:r>
    </w:p>
    <w:p>
      <w:pPr>
        <w:pStyle w:val="ListBullet"/>
      </w:pPr>
      <w:r/>
      <w:r>
        <w:t>审查日期：20260413</w:t>
      </w:r>
    </w:p>
    <w:p/>
    <w:p>
      <w:pPr>
        <w:pStyle w:val="Heading2"/>
      </w:pPr>
      <w:r>
        <w:t>2. 审查依据</w:t>
      </w:r>
    </w:p>
    <w:p>
      <w:r/>
      <w:r>
        <w:t>- 网络数据安全管理条例第三十一条</w:t>
      </w:r>
      <w:r>
        <w:br/>
      </w:r>
      <w:r>
        <w:t>- 中华人民共和国网络安全法（2025修正）第五十二条</w:t>
      </w:r>
      <w:r>
        <w:br/>
      </w:r>
      <w:r>
        <w:t>- 中华人民共和国数据安全法第二十一条</w:t>
      </w:r>
    </w:p>
    <w:p/>
    <w:p>
      <w:pPr>
        <w:pStyle w:val="Heading2"/>
      </w:pPr>
      <w:r>
        <w:t>3. 总体评级</w:t>
      </w:r>
    </w:p>
    <w:p>
      <w:pPr>
        <w:pStyle w:val="ListBullet"/>
      </w:pPr>
      <w:r/>
      <w:r>
        <w:t>等级：部分合规</w:t>
      </w:r>
    </w:p>
    <w:p>
      <w:pPr>
        <w:pStyle w:val="ListBullet"/>
      </w:pPr>
      <w:r/>
      <w:r>
        <w:t>结论摘要：*总体评级**：部分合规。 【依据：网络数据安全管理条例第三十一条；中华人民共和国网络安全法（2025修正）第五十二条；中华人民共和国数据安全法第二十一条】 *评级理由**：DemoScc161208已制定标准合同草案并上传样例文件，具备启动备案的形式条件，且系统标记风险等级为LOW，显示内部初步识别了可控性。</w:t>
      </w:r>
    </w:p>
    <w:p/>
    <w:p>
      <w:pPr>
        <w:pStyle w:val="Heading2"/>
      </w:pPr>
      <w:r>
        <w:t>4. 条款级问题清单</w:t>
      </w:r>
    </w:p>
    <w:p>
      <w:r/>
      <w:r>
        <w:t>| 定位 | 原文引用 | 问题类型 | 风险等级 | 风险分析 | 法规/标准依据 | 修改建议 |</w:t>
      </w:r>
      <w:r>
        <w:br/>
      </w:r>
      <w:r>
        <w:t>| --- | --- | --- | --- | --- | --- | --- |</w:t>
      </w:r>
      <w:r>
        <w:br/>
      </w:r>
      <w:r>
        <w:t>| 附录II 技术与组织措施 | 敏感个人信息处理条款可能不足（需明确加密、访问控制与审计机制）。 | 定义模糊 | MEDIUM | 涉及敏感个人信息但缺少专项控制条款，存在权利侵害与监管质疑风险。 | 网络数据安全管理条例第三十一条 | 增加敏感个人信息最小化处理、传输加密与访问留痕条款。 |</w:t>
      </w:r>
    </w:p>
    <w:p/>
    <w:p>
      <w:pPr>
        <w:pStyle w:val="Heading2"/>
      </w:pPr>
      <w:r>
        <w:t>5. 修订建议</w:t>
      </w:r>
    </w:p>
    <w:p>
      <w:r/>
      <w:r>
        <w:t>*优先级一（立即整改，完成时限：备案前7日）**：修订隐私政策v1. 0，明确披露境外接收方OceanStar Technology Inc. 【依据：网络数据安全管理条例第三十一条；中华人民共和国网络安全法（2025修正）第五十二条；中华人民共和国数据安全法第二十一条】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