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BCR-C 合规审查报告</w:t>
      </w:r>
    </w:p>
    <w:p/>
    <w:p>
      <w:r>
        <w:t>版本：Draft v1.0</w:t>
      </w:r>
    </w:p>
    <w:p/>
    <w:p>
      <w:pPr>
        <w:pStyle w:val="Heading2"/>
      </w:pPr>
      <w:r>
        <w:t>1. 报告摘要</w:t>
      </w:r>
    </w:p>
    <w:p>
      <w:pPr>
        <w:pStyle w:val="ListBullet"/>
      </w:pPr>
      <w:r/>
      <w:r>
        <w:t>审查对象：示例集团</w:t>
      </w:r>
    </w:p>
    <w:p>
      <w:pPr>
        <w:pStyle w:val="ListBullet"/>
      </w:pPr>
      <w:r/>
      <w:r>
        <w:t>审查范围：EDPB BCR-C 核心要素</w:t>
      </w:r>
    </w:p>
    <w:p>
      <w:pPr>
        <w:pStyle w:val="ListBullet"/>
      </w:pPr>
      <w:r/>
      <w:r>
        <w:t>审查日期：20260412</w:t>
      </w:r>
    </w:p>
    <w:p/>
    <w:p>
      <w:pPr>
        <w:pStyle w:val="Heading2"/>
      </w:pPr>
      <w:r>
        <w:t>2. 整体评级</w:t>
      </w:r>
    </w:p>
    <w:p>
      <w:pPr>
        <w:pStyle w:val="ListBullet"/>
      </w:pPr>
      <w:r/>
      <w:r>
        <w:t>评级：部分缺失</w:t>
      </w:r>
    </w:p>
    <w:p>
      <w:pPr>
        <w:pStyle w:val="ListBullet"/>
      </w:pPr>
      <w:r/>
      <w:r>
        <w:t>主要结论：3.2-C1-结构完整性</w:t>
      </w:r>
    </w:p>
    <w:p/>
    <w:p>
      <w:pPr>
        <w:pStyle w:val="Heading2"/>
      </w:pPr>
      <w:r>
        <w:t>3. 详细审查结果</w:t>
      </w:r>
    </w:p>
    <w:p>
      <w:r/>
      <w:r>
        <w:t>3.2-C1 | 结构完整性 | 风险=MEDIUM | 问题=章节覆盖不完整 | 建议=补齐约束力与权利章节</w:t>
      </w:r>
    </w:p>
    <w:p/>
    <w:p>
      <w:pPr>
        <w:pStyle w:val="Heading2"/>
      </w:pPr>
      <w:r>
        <w:t>4. 风险优先级排序</w:t>
      </w:r>
    </w:p>
    <w:p>
      <w:pPr>
        <w:pStyle w:val="ListBullet"/>
      </w:pPr>
      <w:r/>
      <w:r>
        <w:t>高风险：无</w:t>
      </w:r>
    </w:p>
    <w:p>
      <w:pPr>
        <w:pStyle w:val="ListBullet"/>
      </w:pPr>
      <w:r/>
      <w:r>
        <w:t>中风险：3.2-C1-结构完整性</w:t>
      </w:r>
    </w:p>
    <w:p>
      <w:pPr>
        <w:pStyle w:val="ListBullet"/>
      </w:pPr>
      <w:r/>
      <w:r>
        <w:t>低风险：无</w:t>
      </w:r>
    </w:p>
    <w:p/>
    <w:p>
      <w:pPr>
        <w:pStyle w:val="Heading2"/>
      </w:pPr>
      <w:r>
        <w:t>5. 整改路线</w:t>
      </w:r>
    </w:p>
    <w:p>
      <w:r/>
      <w:r>
        <w:t>（风险优先级与整改建议：LLM未配置，此处为占位内容）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