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文件概要与总体评级</w:t>
      </w:r>
    </w:p>
    <w:p>
      <w:r>
        <w:t>共识别 9 个问题，其中 HIGH 1 个、MEDIUM 4 个、LOW 4 个。</w:t>
      </w:r>
    </w:p>
    <w:p>
      <w:r>
        <w:t>总体合规评级：高风险</w:t>
      </w:r>
    </w:p>
    <w:p>
      <w:pPr>
        <w:pStyle w:val="Heading1"/>
      </w:pPr>
      <w:r>
        <w:t>优先整改建议</w:t>
      </w:r>
    </w:p>
    <w:p>
      <w:r>
        <w:t>优先整改涉及单独同意、境外接收方信息、数据出境说明等高风险问题。</w:t>
      </w:r>
    </w:p>
    <w:p>
      <w:r>
        <w:t>补足安全措施、权利行使、数据处理范围等中风险条款。</w:t>
      </w:r>
    </w:p>
    <w:p>
      <w:pPr>
        <w:pStyle w:val="Heading1"/>
      </w:pPr>
      <w:r>
        <w:t>逐条问题清单</w:t>
      </w:r>
    </w:p>
    <w:p>
      <w:r>
        <w:t>[HIGH] 缺少关键信息：存储地点/存储 | 条款类型：CROSS_BORDER_TRANSFER | 问题类型：MISSING_REQUIREMENT | 原文摘录：第一条 处理目的</w:t>
        <w:br/>
        <w:br/>
        <w:t>乙方仅可基于甲方书面指令，为提供跨境客服支持之目的处理甲方传输的用户账号信息、联系方式与工单记录，不得超出约定目的另作使用。</w:t>
        <w:br/>
        <w:br/>
        <w:t>## | 风险分析：当前条款未清晰体现“存储地点/存储”，可能导致该类合规义务表达不完整。 | 法规依据：《个人信息保护法》第38条；《数据出境安全评估办法》第4条 | 修改建议：建议补充与“存储地点/存储”相关的明确约定，并结合实际业务补全责任边界与操作路径。</w:t>
      </w:r>
    </w:p>
    <w:p>
      <w:r>
        <w:t>[MEDIUM] 保存期限和访问角色的规定可能不够具体 | 条款类型：DATA_PROCESSING_SCOPE | 问题类型：AMBIGUOUS_LANGUAGE | 原文摘录：第二条 处理范围与方式</w:t>
        <w:br/>
        <w:br/>
        <w:t>乙方处理的个人信息范围限于完成客服答复、工单分流与质量复核所必需的最小字段。乙方应当明确处理方式、保存期限和访问角色，不得擅自扩展数据类型。</w:t>
        <w:br/>
        <w:br/>
        <w:t>## | 风险分析：条款要求乙方明确处理方式、保存期限和访问角色，但未给出具体的时间框架和角色定义，可能导致执行上的不一致。 | 法规依据：《个人信息保护法》第13条；《个人信息保护法》第17条；银川市金凤区人民法院: 唐乐一审刑事判决书；郑州市中级人民法院: 王某；郑州市公安局金水分局；郑州市金水区人民政府xx（行政行为）及行政复议二审行政判决书 | 修改建议：设定具体的保存期限，并明确访问角色的权限分配。</w:t>
      </w:r>
    </w:p>
    <w:p>
      <w:r>
        <w:t>[MEDIUM] 数据出境目的地不明确 | 条款类型：CROSS_BORDER_TRANSFER | 问题类型：AMBIGUOUS_LANGUAGE | 原文摘录：第五条 数据出境安排</w:t>
        <w:br/>
        <w:br/>
        <w:t>双方确认相关个人信息将传输至新加坡客服中心处理。乙方应披露主要存储地点、再传输限制及境外接收方联系人，并配合甲方完成必要的跨境合规程序。</w:t>
        <w:br/>
        <w:br/>
        <w:t>## | 风险分析：条款中提到个人信息将传输至新加坡客服中心处理，但没有明确说明是否仅限于新加坡，可能存在歧义。根据《数据出境安全评估办法》第4条，数据出境应明确目的地国家或地区，因此需要进一步明确传输目的地的具体范围。 | 法规依据：《个人信息保护法》第38条；《数据出境安全评估办法》第4条；得理法搜: 最高人民法院发布第五批涉“一带一路”建设典型案例；西城区人民法院: GENGJIE与中国经济信息社有限公司等合同纠纷一审民事判决书 | 修改建议：明确数据出境的目的地，是否仅限于新加坡，或者是否允许在新加坡以外的其他地点处理，如果允许，应列出所有可能的地点。</w:t>
      </w:r>
    </w:p>
    <w:p>
      <w:r>
        <w:t>[MEDIUM] 缺乏单独同意的法律效力证明 | 条款类型：CONSENT_NOTICE | 问题类型：NON_COMPLIANT | 原文摘录：第三条 告知与单独同意</w:t>
        <w:br/>
        <w:br/>
        <w:t>甲方应在向境外接收方提供个人信息前，向个人告知境外接收方名称、联系方式、处理目的、处理方式、个人信息种类以及个人行使权利的方式和程序，并依法取得单独同意。</w:t>
        <w:br/>
        <w:br/>
        <w:t>## | 风险分析：条款提到应依法取得单独同意，但未具体说明如何取得单独同意，是否通过明确的同意流程和记录来证明。 | 法规依据：《个人信息保护法》第39条；北京市第四中级人民法院（又名北京铁路运输中级法院）: 指导性案例265号：罗某诉某科技有限公司隐私权、个人信息保护纠纷案；长春高新技术产业开发区人民法院: 唐某；中银某公司名誉权纠纷一审民事判决书 | 修改建议：建议详细规定单独同意的获取方式和必须的同意流程，包括必要的同意证据，如书面确认等。</w:t>
      </w:r>
    </w:p>
    <w:p>
      <w:r>
        <w:t>[MEDIUM] 缺乏境外接收方的具体信息 | 条款类型：CROSS_BORDER_TRANSFER | 问题类型：MISSING_REQUIREMENT | 原文摘录：第五条 数据出境安排</w:t>
        <w:br/>
        <w:br/>
        <w:t>双方确认相关个人信息将传输至新加坡客服中心处理。乙方应披露主要存储地点、再传输限制及境外接收方联系人，并配合甲方完成必要的跨境合规程序。</w:t>
        <w:br/>
        <w:br/>
        <w:t>## | 风险分析：条款中提到乙方应披露境外接收方联系人，但没有提供具体的联系信息，这可能导致跨境合规程序难以执行。根据《个人信息保护法》第38条，需要提供明确的境外接收方信息以便于监督和管理数据的出境。 | 法规依据：《个人信息保护法》第38条；《数据出境安全评估办法》第4条；得理法搜: 最高人民法院发布第五批涉“一带一路”建设典型案例；西城区人民法院: GENGJIE与中国经济信息社有限公司等合同纠纷一审民事判决书 | 修改建议：详细列明境外接收方的名称、地址和联系方式，确保跨境合规程序的顺利进行。</w:t>
      </w:r>
    </w:p>
    <w:p>
      <w:r>
        <w:t>[LOW] 数据处理范围限制不够明确 | 条款类型：DATA_PROCESSING_SCOPE | 问题类型：AMBIGUOUS_LANGUAGE | 原文摘录：第二条 处理范围与方式</w:t>
        <w:br/>
        <w:br/>
        <w:t>乙方处理的个人信息范围限于完成客服答复、工单分流与质量复核所必需的最小字段。乙方应当明确处理方式、保存期限和访问角色，不得擅自扩展数据类型。</w:t>
        <w:br/>
        <w:br/>
        <w:t>## | 风险分析：条款中提到乙方处理的个人信息范围限于完成客服答复、工单分流与质量复核所必需的最小字段，但未明确界定哪些字段属于最小字段，可能导致理解上的歧义。 | 法规依据：《个人信息保护法》第13条；《个人信息保护法》第17条；银川市金凤区人民法院: 唐乐一审刑事判决书；郑州市中级人民法院: 王某；郑州市公安局金水分局；郑州市金水区人民政府xx（行政行为）及行政复议二审行政判决书 | 修改建议：进一步明确最小字段的具体内容，并提供清晰的处理范围描述。</w:t>
      </w:r>
    </w:p>
    <w:p>
      <w:r>
        <w:t>[LOW] 未提及数据安全措施 | 条款类型：DATA_PROCESSING_SCOPE | 问题类型：MISSING_REQUIREMENT | 原文摘录：第二条 处理范围与方式</w:t>
        <w:br/>
        <w:br/>
        <w:t>乙方处理的个人信息范围限于完成客服答复、工单分流与质量复核所必需的最小字段。乙方应当明确处理方式、保存期限和访问角色，不得擅自扩展数据类型。</w:t>
        <w:br/>
        <w:br/>
        <w:t>## | 风险分析：条款未涉及数据安全措施的相关内容，如加密、访问控制等，增加了数据泄露的风险。 | 法规依据：《个人信息保护法》第13条；《个人信息保护法》第17条；银川市金凤区人民法院: 唐乐一审刑事判决书；郑州市中级人民法院: 王某；郑州市公安局金水分局；郑州市金水区人民政府xx（行政行为）及行政复议二审行政判决书 | 修改建议：增加关于数据安全措施的规定，确保数据的安全性。</w:t>
      </w:r>
    </w:p>
    <w:p>
      <w:r>
        <w:t>[LOW] 未提及跨境合规程序的具体要求 | 条款类型：CROSS_BORDER_TRANSFER | 问题类型：AMBIGUOUS_LANGUAGE | 原文摘录：第五条 数据出境安排</w:t>
        <w:br/>
        <w:br/>
        <w:t>双方确认相关个人信息将传输至新加坡客服中心处理。乙方应披露主要存储地点、再传输限制及境外接收方联系人，并配合甲方完成必要的跨境合规程序。</w:t>
        <w:br/>
        <w:br/>
        <w:t>## | 风险分析：条款提到配合甲方完成必要的跨境合规程序，但没有具体说明哪些程序是必要的，可能导致执行过程中的模糊不清。根据《数据出境安全评估办法》第4条，应明确跨境合规的具体要求，包括评估、审批等流程。 | 法规依据：《个人信息保护法》第38条；《数据出境安全评估办法》第4条；得理法搜: 最高人民法院发布第五批涉“一带一路”建设典型案例；西城区人民法院: GENGJIE与中国经济信息社有限公司等合同纠纷一审民事判决书 | 修改建议：详细说明跨境合规所需的具体程序，如评估流程、审批要求等，以确保合规操作的准确性和有效性。</w:t>
      </w:r>
    </w:p>
    <w:p>
      <w:r>
        <w:t>[LOW] 未明确告知法律后果 | 条款类型：CONSENT_NOTICE | 问题类型：AMBIGUOUS_LANGUAGE | 原文摘录：第三条 告知与单独同意</w:t>
        <w:br/>
        <w:br/>
        <w:t>甲方应在向境外接收方提供个人信息前，向个人告知境外接收方名称、联系方式、处理目的、处理方式、个人信息种类以及个人行使权利的方式和程序，并依法取得单独同意。</w:t>
        <w:br/>
        <w:br/>
        <w:t>## | 风险分析：虽然条款要求告知个人相关信息接收方的信息和处理目的，但未明确告知如果个人拒绝提供个人信息会有什么法律后果。 | 法规依据：《个人信息保护法》第39条；北京市第四中级人民法院（又名北京铁路运输中级法院）: 指导性案例265号：罗某诉某科技有限公司隐私权、个人信息保护纠纷案；长春高新技术产业开发区人民法院: 唐某；中银某公司名誉权纠纷一审民事判决书 | 修改建议：建议增加条款，明确告知个人拒绝提供个人信息可能面临的法律后果，例如法律责任或合同终止等。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