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page" w:tblpX="1785" w:tblpY="277"/>
        <w:tblOverlap w:val="never"/>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56"/>
        <w:gridCol w:w="4072"/>
      </w:tblGrid>
      <w:tr w14:paraId="0D6B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4446" w:type="dxa"/>
            <w:vMerge w:val="restart"/>
            <w:tcBorders>
              <w:top w:val="single" w:color="000000" w:sz="12" w:space="0"/>
              <w:bottom w:val="single" w:color="000000" w:sz="4" w:space="0"/>
              <w:tl2br w:val="nil"/>
            </w:tcBorders>
            <w:shd w:val="clear" w:color="auto" w:fill="FFFFFF"/>
            <w:vAlign w:val="center"/>
          </w:tcPr>
          <w:p w14:paraId="6E7875EC">
            <w:pPr>
              <w:snapToGrid w:val="0"/>
              <w:ind w:left="0" w:leftChars="0" w:right="0" w:rightChars="0" w:firstLine="0" w:firstLineChars="0"/>
              <w:jc w:val="center"/>
              <w:rPr>
                <w:rFonts w:hint="eastAsia" w:eastAsia="宋体" w:cs="Times New Roman"/>
                <w:b w:val="0"/>
                <w:color w:val="000000"/>
                <w:kern w:val="0"/>
                <w:sz w:val="20"/>
                <w:szCs w:val="20"/>
                <w:lang w:eastAsia="zh-CN"/>
              </w:rPr>
            </w:pPr>
            <w:r>
              <w:rPr>
                <w:rFonts w:hint="eastAsia" w:eastAsia="宋体" w:cs="Times New Roman"/>
                <w:b w:val="0"/>
                <w:color w:val="000000"/>
                <w:kern w:val="0"/>
                <w:sz w:val="20"/>
                <w:szCs w:val="20"/>
                <w:lang w:eastAsia="zh-CN"/>
              </w:rPr>
              <w:drawing>
                <wp:inline distT="0" distB="0" distL="114300" distR="114300">
                  <wp:extent cx="2680970" cy="1003935"/>
                  <wp:effectExtent l="0" t="0" r="11430" b="0"/>
                  <wp:docPr id="7" name="图片 7" descr="LOGO-带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带字体"/>
                          <pic:cNvPicPr>
                            <a:picLocks noChangeAspect="1"/>
                          </pic:cNvPicPr>
                        </pic:nvPicPr>
                        <pic:blipFill>
                          <a:blip r:embed="rId6"/>
                          <a:stretch>
                            <a:fillRect/>
                          </a:stretch>
                        </pic:blipFill>
                        <pic:spPr>
                          <a:xfrm>
                            <a:off x="0" y="0"/>
                            <a:ext cx="2680970" cy="1003935"/>
                          </a:xfrm>
                          <a:prstGeom prst="rect">
                            <a:avLst/>
                          </a:prstGeom>
                        </pic:spPr>
                      </pic:pic>
                    </a:graphicData>
                  </a:graphic>
                </wp:inline>
              </w:drawing>
            </w:r>
          </w:p>
        </w:tc>
        <w:tc>
          <w:tcPr>
            <w:tcW w:w="4082" w:type="dxa"/>
            <w:tcBorders>
              <w:top w:val="single" w:color="000000" w:sz="12" w:space="0"/>
              <w:bottom w:val="single" w:color="000000" w:sz="4" w:space="0"/>
            </w:tcBorders>
            <w:shd w:val="clear" w:color="auto" w:fill="FFFFFF"/>
            <w:vAlign w:val="center"/>
          </w:tcPr>
          <w:p w14:paraId="112732D4">
            <w:pPr>
              <w:snapToGrid w:val="0"/>
              <w:ind w:left="0" w:leftChars="0" w:right="0" w:rightChars="0" w:firstLine="0" w:firstLineChars="0"/>
              <w:jc w:val="center"/>
              <w:rPr>
                <w:rFonts w:hint="default" w:ascii="Times New Roman" w:hAnsi="Times New Roman" w:eastAsia="宋体" w:cs="Times New Roman"/>
                <w:b w:val="0"/>
                <w:color w:val="000000"/>
                <w:kern w:val="0"/>
                <w:sz w:val="24"/>
                <w:szCs w:val="20"/>
                <w:lang w:val="en-US" w:eastAsia="zh-CN"/>
              </w:rPr>
            </w:pPr>
            <w:r>
              <w:rPr>
                <w:rFonts w:hint="eastAsia" w:eastAsia="宋体" w:cs="Times New Roman"/>
                <w:b w:val="0"/>
                <w:color w:val="000000"/>
                <w:kern w:val="0"/>
                <w:sz w:val="24"/>
                <w:szCs w:val="20"/>
                <w:lang w:val="en-US" w:eastAsia="zh-CN"/>
              </w:rPr>
              <w:t>第十七届</w:t>
            </w:r>
            <w:r>
              <w:rPr>
                <w:rFonts w:hint="eastAsia" w:eastAsia="宋体" w:cs="Times New Roman"/>
                <w:b w:val="0"/>
                <w:color w:val="000000"/>
                <w:kern w:val="0"/>
                <w:sz w:val="24"/>
                <w:szCs w:val="20"/>
                <w:lang w:val="en-US" w:eastAsia="zh-CN"/>
              </w:rPr>
              <w:br w:type="textWrapping"/>
            </w:r>
            <w:r>
              <w:rPr>
                <w:rFonts w:hint="eastAsia" w:ascii="Times New Roman" w:hAnsi="Times New Roman" w:eastAsia="宋体" w:cs="Times New Roman"/>
                <w:b w:val="0"/>
                <w:color w:val="000000"/>
                <w:kern w:val="0"/>
                <w:sz w:val="24"/>
                <w:szCs w:val="20"/>
              </w:rPr>
              <w:t>中国大学生服务外包创新创业大赛</w:t>
            </w:r>
            <w:r>
              <w:rPr>
                <w:rFonts w:hint="eastAsia" w:ascii="Times New Roman" w:hAnsi="Times New Roman" w:eastAsia="宋体" w:cs="Times New Roman"/>
                <w:b w:val="0"/>
                <w:color w:val="000000"/>
                <w:kern w:val="0"/>
                <w:sz w:val="24"/>
                <w:szCs w:val="20"/>
              </w:rPr>
              <w:br w:type="textWrapping"/>
            </w:r>
            <w:r>
              <w:rPr>
                <w:rFonts w:hint="eastAsia" w:ascii="Times New Roman" w:hAnsi="Times New Roman" w:eastAsia="宋体" w:cs="Times New Roman"/>
                <w:b w:val="0"/>
                <w:color w:val="000000"/>
                <w:kern w:val="0"/>
                <w:sz w:val="24"/>
                <w:szCs w:val="20"/>
                <w:lang w:eastAsia="zh-CN"/>
              </w:rPr>
              <w:t>【</w:t>
            </w:r>
            <w:r>
              <w:rPr>
                <w:rFonts w:hint="eastAsia" w:ascii="Times New Roman" w:hAnsi="Times New Roman" w:eastAsia="宋体" w:cs="Times New Roman"/>
                <w:b w:val="0"/>
                <w:color w:val="000000"/>
                <w:kern w:val="0"/>
                <w:sz w:val="24"/>
                <w:szCs w:val="20"/>
                <w:lang w:val="en-US" w:eastAsia="zh-CN"/>
              </w:rPr>
              <w:t>D06</w:t>
            </w:r>
            <w:r>
              <w:rPr>
                <w:rFonts w:hint="eastAsia" w:ascii="Times New Roman" w:hAnsi="Times New Roman" w:eastAsia="宋体" w:cs="Times New Roman"/>
                <w:b w:val="0"/>
                <w:color w:val="000000"/>
                <w:kern w:val="0"/>
                <w:sz w:val="24"/>
                <w:szCs w:val="20"/>
                <w:lang w:eastAsia="zh-CN"/>
              </w:rPr>
              <w:t>】</w:t>
            </w:r>
            <w:r>
              <w:rPr>
                <w:rFonts w:hint="eastAsia" w:ascii="Times New Roman" w:hAnsi="Times New Roman" w:eastAsia="宋体" w:cs="Times New Roman"/>
                <w:b w:val="0"/>
                <w:color w:val="000000"/>
                <w:kern w:val="0"/>
                <w:sz w:val="24"/>
                <w:szCs w:val="20"/>
              </w:rPr>
              <w:t>法律AI应用创新与实践</w:t>
            </w:r>
            <w:r>
              <w:rPr>
                <w:rFonts w:hint="eastAsia" w:ascii="Times New Roman" w:hAnsi="Times New Roman" w:eastAsia="宋体" w:cs="Times New Roman"/>
                <w:b w:val="0"/>
                <w:color w:val="000000"/>
                <w:kern w:val="0"/>
                <w:sz w:val="24"/>
                <w:szCs w:val="20"/>
              </w:rPr>
              <w:br w:type="textWrapping"/>
            </w:r>
            <w:r>
              <w:rPr>
                <w:rFonts w:hint="eastAsia" w:ascii="Times New Roman" w:hAnsi="Times New Roman" w:eastAsia="宋体" w:cs="Times New Roman"/>
                <w:b w:val="0"/>
                <w:color w:val="000000"/>
                <w:kern w:val="0"/>
                <w:sz w:val="24"/>
                <w:szCs w:val="20"/>
              </w:rPr>
              <w:t>【腾讯开悟】</w:t>
            </w:r>
          </w:p>
        </w:tc>
      </w:tr>
      <w:tr w14:paraId="6065B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4446" w:type="dxa"/>
            <w:vMerge w:val="continue"/>
            <w:tcBorders>
              <w:top w:val="single" w:color="000000" w:sz="4" w:space="0"/>
              <w:bottom w:val="single" w:color="000000" w:sz="12" w:space="0"/>
            </w:tcBorders>
            <w:shd w:val="clear" w:color="auto" w:fill="FFFFFF"/>
            <w:vAlign w:val="center"/>
          </w:tcPr>
          <w:p w14:paraId="077CBCF8">
            <w:pPr>
              <w:snapToGrid w:val="0"/>
              <w:ind w:left="0" w:leftChars="0" w:right="0" w:rightChars="0" w:firstLine="0" w:firstLineChars="0"/>
              <w:jc w:val="center"/>
              <w:rPr>
                <w:rFonts w:eastAsia="宋体" w:cs="Times New Roman"/>
                <w:b w:val="0"/>
                <w:color w:val="000000"/>
                <w:kern w:val="0"/>
                <w:sz w:val="20"/>
                <w:szCs w:val="20"/>
              </w:rPr>
            </w:pPr>
          </w:p>
        </w:tc>
        <w:tc>
          <w:tcPr>
            <w:tcW w:w="4082" w:type="dxa"/>
            <w:tcBorders>
              <w:top w:val="single" w:color="000000" w:sz="4" w:space="0"/>
              <w:bottom w:val="single" w:color="000000" w:sz="12" w:space="0"/>
            </w:tcBorders>
            <w:shd w:val="clear" w:color="auto" w:fill="FFFFFF"/>
            <w:vAlign w:val="center"/>
          </w:tcPr>
          <w:p w14:paraId="6270A2B0">
            <w:pPr>
              <w:snapToGrid w:val="0"/>
              <w:spacing w:line="240" w:lineRule="auto"/>
              <w:ind w:left="0" w:leftChars="0" w:right="0" w:rightChars="0" w:firstLine="0" w:firstLineChars="0"/>
              <w:jc w:val="center"/>
              <w:rPr>
                <w:rFonts w:eastAsia="宋体" w:cs="Times New Roman"/>
                <w:b w:val="0"/>
                <w:color w:val="000000"/>
                <w:kern w:val="0"/>
                <w:sz w:val="24"/>
                <w:szCs w:val="20"/>
              </w:rPr>
            </w:pPr>
            <w:r>
              <w:rPr>
                <w:rFonts w:hint="eastAsia" w:eastAsia="宋体" w:cs="Times New Roman"/>
                <w:b w:val="0"/>
                <w:color w:val="000000"/>
                <w:kern w:val="0"/>
                <w:sz w:val="24"/>
                <w:szCs w:val="20"/>
                <w:lang w:val="en-US" w:eastAsia="zh-CN"/>
              </w:rPr>
              <w:t>团队</w:t>
            </w:r>
            <w:r>
              <w:rPr>
                <w:rFonts w:eastAsia="宋体" w:cs="Times New Roman"/>
                <w:b w:val="0"/>
                <w:color w:val="000000"/>
                <w:kern w:val="0"/>
                <w:sz w:val="24"/>
                <w:szCs w:val="20"/>
              </w:rPr>
              <w:t>编</w:t>
            </w:r>
            <w:r>
              <w:rPr>
                <w:rFonts w:hint="eastAsia" w:ascii="Times New Roman" w:hAnsi="Times New Roman" w:eastAsia="宋体" w:cs="Times New Roman"/>
                <w:b w:val="0"/>
                <w:color w:val="000000"/>
                <w:kern w:val="0"/>
                <w:sz w:val="24"/>
                <w:szCs w:val="20"/>
                <w:lang w:val="en-US" w:eastAsia="zh-CN"/>
              </w:rPr>
              <w:t>号：T2600323</w:t>
            </w:r>
          </w:p>
        </w:tc>
      </w:tr>
    </w:tbl>
    <w:p w14:paraId="6712A77B">
      <w:pPr>
        <w:ind w:left="0" w:leftChars="0" w:firstLine="0" w:firstLineChars="0"/>
        <w:jc w:val="both"/>
        <w:rPr>
          <w:rFonts w:eastAsia="宋体"/>
          <w:b/>
          <w:color w:val="000000"/>
          <w:sz w:val="24"/>
        </w:rPr>
      </w:pPr>
    </w:p>
    <w:p w14:paraId="268AB0A2">
      <w:pPr>
        <w:ind w:left="0" w:leftChars="0" w:firstLine="0" w:firstLineChars="0"/>
        <w:jc w:val="center"/>
        <w:rPr>
          <w:rStyle w:val="20"/>
          <w:rFonts w:hint="eastAsia" w:asciiTheme="minorHAnsi" w:hAnsiTheme="minorHAnsi" w:eastAsiaTheme="minorEastAsia"/>
          <w:lang w:eastAsia="zh-CN"/>
        </w:rPr>
      </w:pPr>
      <w:r>
        <w:rPr>
          <w:rStyle w:val="20"/>
          <w:rFonts w:hint="eastAsia" w:asciiTheme="minorHAnsi" w:hAnsiTheme="minorHAnsi" w:eastAsiaTheme="minorEastAsia"/>
          <w:lang w:eastAsia="zh-CN"/>
        </w:rPr>
        <w:drawing>
          <wp:inline distT="0" distB="0" distL="114300" distR="114300">
            <wp:extent cx="1506855" cy="1352550"/>
            <wp:effectExtent l="0" t="0" r="0" b="0"/>
            <wp:docPr id="8" name="图片 8" descr="LOGO-不带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GO-不带字体"/>
                    <pic:cNvPicPr>
                      <a:picLocks noChangeAspect="1"/>
                    </pic:cNvPicPr>
                  </pic:nvPicPr>
                  <pic:blipFill>
                    <a:blip r:embed="rId7"/>
                    <a:stretch>
                      <a:fillRect/>
                    </a:stretch>
                  </pic:blipFill>
                  <pic:spPr>
                    <a:xfrm>
                      <a:off x="0" y="0"/>
                      <a:ext cx="1506855" cy="1352550"/>
                    </a:xfrm>
                    <a:prstGeom prst="rect">
                      <a:avLst/>
                    </a:prstGeom>
                  </pic:spPr>
                </pic:pic>
              </a:graphicData>
            </a:graphic>
          </wp:inline>
        </w:drawing>
      </w:r>
    </w:p>
    <w:p w14:paraId="5FE5BD54">
      <w:pPr>
        <w:ind w:left="0" w:leftChars="0" w:firstLine="0" w:firstLineChars="0"/>
        <w:jc w:val="both"/>
        <w:rPr>
          <w:rStyle w:val="20"/>
          <w:rFonts w:hint="eastAsia" w:asciiTheme="minorHAnsi" w:hAnsiTheme="minorHAnsi" w:eastAsiaTheme="minorEastAsia"/>
          <w:lang w:eastAsia="zh-CN"/>
        </w:rPr>
      </w:pPr>
    </w:p>
    <w:p w14:paraId="6024B299">
      <w:pPr>
        <w:ind w:left="0" w:leftChars="0" w:firstLine="0" w:firstLineChars="0"/>
        <w:jc w:val="center"/>
        <w:rPr>
          <w:rFonts w:hint="eastAsia" w:ascii="Times New Roman" w:hAnsi="Times New Roman" w:eastAsia="宋体"/>
          <w:b/>
          <w:color w:val="000000"/>
          <w:sz w:val="44"/>
          <w:szCs w:val="44"/>
          <w:lang w:eastAsia="zh"/>
        </w:rPr>
      </w:pPr>
      <w:r>
        <w:rPr>
          <w:rFonts w:hint="eastAsia" w:ascii="Times New Roman" w:hAnsi="Times New Roman" w:eastAsia="宋体"/>
          <w:b/>
          <w:color w:val="000000"/>
          <w:sz w:val="44"/>
          <w:szCs w:val="44"/>
          <w:lang w:eastAsia="zh"/>
        </w:rPr>
        <w:t>数规通</w:t>
      </w:r>
    </w:p>
    <w:p w14:paraId="348A5DD4">
      <w:pPr>
        <w:ind w:left="0" w:leftChars="0" w:firstLine="0" w:firstLineChars="0"/>
        <w:jc w:val="center"/>
        <w:rPr>
          <w:rFonts w:hint="eastAsia" w:ascii="Times New Roman" w:hAnsi="Times New Roman"/>
          <w:b/>
          <w:i/>
          <w:iCs/>
          <w:sz w:val="28"/>
          <w:szCs w:val="22"/>
          <w:lang w:eastAsia="zh"/>
        </w:rPr>
      </w:pPr>
      <w:r>
        <w:rPr>
          <w:rFonts w:hint="eastAsia" w:ascii="Times New Roman" w:hAnsi="Times New Roman"/>
          <w:b/>
          <w:i/>
          <w:iCs/>
          <w:sz w:val="28"/>
          <w:szCs w:val="22"/>
          <w:lang w:eastAsia="zh"/>
        </w:rPr>
        <w:t>DataComplyFlow</w:t>
      </w:r>
    </w:p>
    <w:p w14:paraId="42C11788">
      <w:pPr>
        <w:ind w:left="0" w:leftChars="0" w:firstLine="0" w:firstLineChars="0"/>
        <w:jc w:val="center"/>
        <w:rPr>
          <w:rFonts w:hint="eastAsia" w:ascii="Times New Roman" w:hAnsi="Times New Roman"/>
          <w:b/>
          <w:sz w:val="24"/>
          <w:lang w:eastAsia="zh"/>
        </w:rPr>
      </w:pPr>
      <w:r>
        <w:rPr>
          <w:rFonts w:hint="eastAsia" w:ascii="Times New Roman" w:hAnsi="Times New Roman" w:eastAsia="宋体"/>
          <w:b/>
          <w:color w:val="000000"/>
          <w:sz w:val="28"/>
          <w:szCs w:val="28"/>
          <w:lang w:eastAsia="zh"/>
        </w:rPr>
        <w:t>AI驱动的数据跨境合规诊断与文书智能生成平台</w:t>
      </w:r>
    </w:p>
    <w:p w14:paraId="5A9CCA2E">
      <w:pPr>
        <w:spacing w:line="300" w:lineRule="auto"/>
        <w:jc w:val="both"/>
        <w:rPr>
          <w:b/>
        </w:rPr>
      </w:pPr>
    </w:p>
    <w:p w14:paraId="51FF6D82">
      <w:pPr>
        <w:ind w:left="0" w:leftChars="0" w:firstLine="0" w:firstLineChars="0"/>
        <w:jc w:val="center"/>
        <w:rPr>
          <w:rFonts w:hint="default" w:ascii="黑体" w:hAnsi="黑体" w:eastAsia="黑体"/>
          <w:b/>
          <w:color w:val="000000"/>
          <w:sz w:val="36"/>
          <w:szCs w:val="36"/>
          <w:lang w:val="en-US" w:eastAsia="zh-CN"/>
        </w:rPr>
      </w:pPr>
      <w:r>
        <w:rPr>
          <w:rFonts w:hint="eastAsia" w:ascii="黑体" w:hAnsi="黑体" w:eastAsia="黑体"/>
          <w:b/>
          <w:color w:val="000000"/>
          <w:sz w:val="36"/>
          <w:szCs w:val="36"/>
          <w:lang w:val="en-US" w:eastAsia="zh-CN"/>
        </w:rPr>
        <w:t>需求说明书</w:t>
      </w:r>
    </w:p>
    <w:p w14:paraId="005F5FDA">
      <w:pPr>
        <w:spacing w:line="300" w:lineRule="auto"/>
        <w:ind w:left="0" w:leftChars="0" w:firstLine="0" w:firstLineChars="0"/>
        <w:jc w:val="center"/>
        <w:rPr>
          <w:rFonts w:hint="default"/>
          <w:b/>
          <w:sz w:val="24"/>
          <w:lang w:val="en-US" w:eastAsia="zh-CN"/>
        </w:rPr>
      </w:pPr>
      <w:r>
        <w:rPr>
          <w:rFonts w:hint="eastAsia"/>
          <w:b/>
          <w:sz w:val="24"/>
        </w:rPr>
        <w:t>Version:</w:t>
      </w:r>
      <w:r>
        <w:rPr>
          <w:rFonts w:hint="eastAsia"/>
          <w:b/>
          <w:sz w:val="24"/>
          <w:lang w:val="en-US" w:eastAsia="zh-CN"/>
        </w:rPr>
        <w:t>0.1.0</w:t>
      </w:r>
    </w:p>
    <w:p w14:paraId="59F2F625">
      <w:pPr>
        <w:spacing w:line="300" w:lineRule="auto"/>
        <w:ind w:left="0" w:leftChars="0" w:firstLine="0" w:firstLineChars="0"/>
        <w:jc w:val="center"/>
        <w:rPr>
          <w:rFonts w:hint="default"/>
          <w:b/>
          <w:sz w:val="24"/>
          <w:lang w:val="en-US" w:eastAsia="zh-CN"/>
        </w:rPr>
      </w:pPr>
    </w:p>
    <w:p w14:paraId="6CE5BAA4">
      <w:pPr>
        <w:spacing w:line="300" w:lineRule="auto"/>
        <w:ind w:left="0" w:leftChars="0" w:firstLine="0" w:firstLineChars="0"/>
        <w:jc w:val="center"/>
        <w:rPr>
          <w:b/>
          <w:sz w:val="24"/>
        </w:rPr>
      </w:pPr>
      <w:r>
        <w:rPr>
          <w:rFonts w:eastAsia="宋体"/>
          <w:color w:val="000000"/>
          <w:sz w:val="24"/>
        </w:rPr>
        <w:drawing>
          <wp:inline distT="0" distB="0" distL="114300" distR="114300">
            <wp:extent cx="1941830" cy="1057910"/>
            <wp:effectExtent l="0" t="0" r="127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1941830" cy="1057910"/>
                    </a:xfrm>
                    <a:prstGeom prst="rect">
                      <a:avLst/>
                    </a:prstGeom>
                  </pic:spPr>
                </pic:pic>
              </a:graphicData>
            </a:graphic>
          </wp:inline>
        </w:drawing>
      </w:r>
    </w:p>
    <w:p w14:paraId="6EA1A4D5">
      <w:pPr>
        <w:spacing w:line="300" w:lineRule="auto"/>
        <w:ind w:left="0" w:leftChars="0" w:firstLine="0" w:firstLineChars="0"/>
        <w:jc w:val="center"/>
        <w:rPr>
          <w:rFonts w:hint="eastAsia"/>
          <w:b/>
          <w:sz w:val="24"/>
          <w:lang w:eastAsia="zh"/>
        </w:rPr>
      </w:pPr>
      <w:r>
        <w:rPr>
          <w:rFonts w:hint="eastAsia"/>
          <w:b/>
          <w:sz w:val="24"/>
          <w:lang w:eastAsia="zh"/>
        </w:rPr>
        <w:t>AIS·研智小组</w:t>
      </w:r>
    </w:p>
    <w:p w14:paraId="16284C6A">
      <w:pPr>
        <w:spacing w:line="300" w:lineRule="auto"/>
        <w:jc w:val="center"/>
        <w:rPr>
          <w:rFonts w:hint="eastAsia"/>
          <w:b/>
          <w:sz w:val="24"/>
          <w:lang w:eastAsia="zh"/>
        </w:rPr>
      </w:pPr>
    </w:p>
    <w:p w14:paraId="18924A45">
      <w:pPr>
        <w:ind w:left="0" w:leftChars="0" w:firstLine="0" w:firstLineChars="0"/>
        <w:jc w:val="center"/>
        <w:rPr>
          <w:rFonts w:hint="default" w:eastAsia="宋体"/>
          <w:b/>
          <w:color w:val="000000"/>
          <w:sz w:val="24"/>
          <w:lang w:val="en-US" w:eastAsia="zh-CN"/>
        </w:rPr>
      </w:pPr>
      <w:r>
        <w:rPr>
          <w:rFonts w:hint="eastAsia" w:eastAsia="宋体"/>
          <w:b/>
          <w:color w:val="000000"/>
          <w:sz w:val="24"/>
          <w:lang w:val="en-US" w:eastAsia="zh-CN"/>
        </w:rPr>
        <w:t>2</w:t>
      </w:r>
      <w:r>
        <w:rPr>
          <w:rFonts w:hint="eastAsia" w:eastAsia="宋体"/>
          <w:b/>
          <w:color w:val="000000"/>
          <w:sz w:val="24"/>
          <w:lang w:eastAsia="zh"/>
        </w:rPr>
        <w:t>026.0</w:t>
      </w:r>
      <w:r>
        <w:rPr>
          <w:rFonts w:hint="eastAsia"/>
          <w:b/>
          <w:color w:val="000000"/>
          <w:sz w:val="24"/>
          <w:lang w:val="en-US" w:eastAsia="zh-CN"/>
        </w:rPr>
        <w:t>7</w:t>
      </w:r>
      <w:r>
        <w:rPr>
          <w:rFonts w:hint="eastAsia" w:eastAsia="宋体"/>
          <w:b/>
          <w:color w:val="000000"/>
          <w:sz w:val="24"/>
          <w:lang w:eastAsia="zh"/>
        </w:rPr>
        <w:t>.</w:t>
      </w:r>
      <w:r>
        <w:rPr>
          <w:rFonts w:hint="eastAsia" w:eastAsia="宋体"/>
          <w:b/>
          <w:color w:val="000000"/>
          <w:sz w:val="24"/>
          <w:lang w:val="en-US" w:eastAsia="zh-CN"/>
        </w:rPr>
        <w:t>21</w:t>
      </w:r>
    </w:p>
    <w:p w14:paraId="62818CFF">
      <w:pPr>
        <w:spacing w:line="300" w:lineRule="auto"/>
        <w:ind w:left="0" w:leftChars="0" w:firstLine="0" w:firstLineChars="0"/>
        <w:jc w:val="both"/>
        <w:rPr>
          <w:b/>
          <w:sz w:val="24"/>
        </w:rPr>
      </w:pPr>
    </w:p>
    <w:p w14:paraId="63829F72">
      <w:pPr>
        <w:spacing w:line="300" w:lineRule="auto"/>
        <w:ind w:left="0" w:leftChars="0" w:firstLine="0" w:firstLineChars="0"/>
        <w:jc w:val="center"/>
        <w:rPr>
          <w:rFonts w:hint="eastAsia" w:eastAsia="宋体"/>
          <w:sz w:val="48"/>
          <w:szCs w:val="48"/>
          <w:lang w:val="en-US" w:eastAsia="zh-CN"/>
        </w:rPr>
      </w:pPr>
      <w:r>
        <w:rPr>
          <w:b/>
          <w:sz w:val="24"/>
        </w:rPr>
        <w:t>All</w:t>
      </w:r>
      <w:r>
        <w:rPr>
          <w:rFonts w:hint="eastAsia"/>
          <w:b/>
          <w:sz w:val="24"/>
          <w:lang w:val="en-US" w:eastAsia="zh-CN"/>
        </w:rPr>
        <w:t xml:space="preserve"> </w:t>
      </w:r>
      <w:r>
        <w:rPr>
          <w:b/>
          <w:sz w:val="24"/>
        </w:rPr>
        <w:t>Rights</w:t>
      </w:r>
      <w:r>
        <w:rPr>
          <w:rFonts w:hint="eastAsia"/>
          <w:b/>
          <w:sz w:val="24"/>
          <w:lang w:val="en-US" w:eastAsia="zh-CN"/>
        </w:rPr>
        <w:t xml:space="preserve"> </w:t>
      </w:r>
      <w:r>
        <w:rPr>
          <w:b/>
          <w:sz w:val="24"/>
        </w:rPr>
        <w:t>Reserved</w:t>
      </w:r>
    </w:p>
    <w:p w14:paraId="73CFCAFD">
      <w:pPr>
        <w:pStyle w:val="13"/>
        <w:keepNext w:val="0"/>
        <w:keepLines w:val="0"/>
        <w:widowControl/>
        <w:suppressLineNumbers w:val="0"/>
        <w:spacing w:line="360" w:lineRule="auto"/>
        <w:rPr>
          <w:rFonts w:hint="default" w:ascii="Times New Roman" w:hAnsi="Times New Roman" w:eastAsia="宋体" w:cs="Times New Roman"/>
        </w:rPr>
      </w:pPr>
      <w:r>
        <w:rPr>
          <w:rFonts w:hint="default" w:ascii="Times New Roman" w:hAnsi="Times New Roman" w:eastAsia="宋体" w:cs="Times New Roman"/>
        </w:rPr>
        <w:br w:type="page"/>
      </w:r>
    </w:p>
    <w:p w14:paraId="631F1F0B">
      <w:pPr>
        <w:pStyle w:val="22"/>
        <w:spacing w:after="156" w:afterLines="50" w:line="300" w:lineRule="auto"/>
        <w:ind w:left="0" w:leftChars="0" w:firstLine="0" w:firstLineChars="0"/>
        <w:jc w:val="center"/>
        <w:rPr>
          <w:rFonts w:hint="eastAsia" w:ascii="黑体" w:hAnsi="黑体" w:eastAsia="黑体"/>
          <w:color w:val="000000"/>
          <w:sz w:val="36"/>
        </w:rPr>
      </w:pPr>
      <w:bookmarkStart w:id="0" w:name="_Toc23186"/>
      <w:r>
        <w:rPr>
          <w:rFonts w:hint="eastAsia" w:ascii="黑体" w:hAnsi="黑体" w:eastAsia="黑体"/>
          <w:color w:val="000000"/>
          <w:sz w:val="36"/>
        </w:rPr>
        <w:t>文档修订</w:t>
      </w:r>
      <w:r>
        <w:rPr>
          <w:rFonts w:ascii="黑体" w:hAnsi="黑体" w:eastAsia="黑体"/>
          <w:color w:val="000000"/>
          <w:sz w:val="36"/>
        </w:rPr>
        <w:t>历史</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4D94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CFDA182">
            <w:pPr>
              <w:pStyle w:val="23"/>
              <w:ind w:left="0" w:leftChars="0" w:firstLine="0" w:firstLineChars="0"/>
              <w:jc w:val="center"/>
              <w:rPr>
                <w:rFonts w:hint="eastAsia" w:ascii="黑体" w:hAnsi="黑体" w:eastAsia="黑体" w:cs="黑体"/>
                <w:b/>
                <w:bCs w:val="0"/>
                <w:color w:val="000000"/>
                <w:sz w:val="21"/>
                <w:szCs w:val="21"/>
              </w:rPr>
            </w:pPr>
            <w:r>
              <w:rPr>
                <w:rFonts w:hint="eastAsia" w:ascii="黑体" w:hAnsi="黑体" w:eastAsia="黑体" w:cs="黑体"/>
                <w:b/>
                <w:bCs w:val="0"/>
                <w:color w:val="000000"/>
                <w:sz w:val="21"/>
                <w:szCs w:val="21"/>
              </w:rPr>
              <w:t>序号</w:t>
            </w:r>
          </w:p>
        </w:tc>
        <w:tc>
          <w:tcPr>
            <w:tcW w:w="1699" w:type="dxa"/>
            <w:vAlign w:val="center"/>
          </w:tcPr>
          <w:p w14:paraId="033F6159">
            <w:pPr>
              <w:pStyle w:val="23"/>
              <w:ind w:left="0" w:leftChars="0" w:firstLine="0" w:firstLineChars="0"/>
              <w:jc w:val="center"/>
              <w:rPr>
                <w:rFonts w:hint="eastAsia" w:ascii="黑体" w:hAnsi="黑体" w:eastAsia="黑体" w:cs="黑体"/>
                <w:b/>
                <w:bCs w:val="0"/>
                <w:color w:val="000000"/>
                <w:sz w:val="21"/>
                <w:szCs w:val="21"/>
              </w:rPr>
            </w:pPr>
            <w:r>
              <w:rPr>
                <w:rFonts w:hint="eastAsia" w:ascii="黑体" w:hAnsi="黑体" w:eastAsia="黑体" w:cs="黑体"/>
                <w:b/>
                <w:bCs w:val="0"/>
                <w:color w:val="000000"/>
                <w:sz w:val="21"/>
                <w:szCs w:val="21"/>
              </w:rPr>
              <w:t>修订原因</w:t>
            </w:r>
          </w:p>
        </w:tc>
        <w:tc>
          <w:tcPr>
            <w:tcW w:w="1279" w:type="dxa"/>
            <w:vAlign w:val="center"/>
          </w:tcPr>
          <w:p w14:paraId="54602D67">
            <w:pPr>
              <w:pStyle w:val="23"/>
              <w:ind w:left="0" w:leftChars="0" w:firstLine="0" w:firstLineChars="0"/>
              <w:jc w:val="center"/>
              <w:rPr>
                <w:rFonts w:hint="eastAsia" w:ascii="黑体" w:hAnsi="黑体" w:eastAsia="黑体" w:cs="黑体"/>
                <w:b/>
                <w:bCs w:val="0"/>
                <w:color w:val="000000"/>
                <w:sz w:val="21"/>
                <w:szCs w:val="21"/>
              </w:rPr>
            </w:pPr>
            <w:r>
              <w:rPr>
                <w:rFonts w:hint="eastAsia" w:ascii="黑体" w:hAnsi="黑体" w:eastAsia="黑体" w:cs="黑体"/>
                <w:b/>
                <w:bCs w:val="0"/>
                <w:color w:val="000000"/>
                <w:sz w:val="21"/>
                <w:szCs w:val="21"/>
              </w:rPr>
              <w:t>版本号</w:t>
            </w:r>
          </w:p>
        </w:tc>
        <w:tc>
          <w:tcPr>
            <w:tcW w:w="1416" w:type="dxa"/>
            <w:vAlign w:val="center"/>
          </w:tcPr>
          <w:p w14:paraId="0C3E3E42">
            <w:pPr>
              <w:pStyle w:val="23"/>
              <w:ind w:left="0" w:leftChars="0" w:firstLine="0" w:firstLineChars="0"/>
              <w:jc w:val="center"/>
              <w:rPr>
                <w:rFonts w:hint="eastAsia" w:ascii="黑体" w:hAnsi="黑体" w:eastAsia="黑体" w:cs="黑体"/>
                <w:b/>
                <w:bCs w:val="0"/>
                <w:color w:val="000000"/>
                <w:sz w:val="21"/>
                <w:szCs w:val="21"/>
              </w:rPr>
            </w:pPr>
            <w:r>
              <w:rPr>
                <w:rFonts w:hint="eastAsia" w:ascii="黑体" w:hAnsi="黑体" w:eastAsia="黑体" w:cs="黑体"/>
                <w:b/>
                <w:bCs w:val="0"/>
                <w:color w:val="000000"/>
                <w:sz w:val="21"/>
                <w:szCs w:val="21"/>
              </w:rPr>
              <w:t>作者</w:t>
            </w:r>
          </w:p>
        </w:tc>
        <w:tc>
          <w:tcPr>
            <w:tcW w:w="1703" w:type="dxa"/>
            <w:vAlign w:val="center"/>
          </w:tcPr>
          <w:p w14:paraId="7EB83B84">
            <w:pPr>
              <w:pStyle w:val="23"/>
              <w:ind w:left="0" w:leftChars="0" w:firstLine="0" w:firstLineChars="0"/>
              <w:jc w:val="center"/>
              <w:rPr>
                <w:rFonts w:hint="eastAsia" w:ascii="黑体" w:hAnsi="黑体" w:eastAsia="黑体" w:cs="黑体"/>
                <w:b/>
                <w:bCs w:val="0"/>
                <w:color w:val="000000"/>
                <w:sz w:val="21"/>
                <w:szCs w:val="21"/>
              </w:rPr>
            </w:pPr>
            <w:r>
              <w:rPr>
                <w:rFonts w:hint="eastAsia" w:ascii="黑体" w:hAnsi="黑体" w:eastAsia="黑体" w:cs="黑体"/>
                <w:b/>
                <w:bCs w:val="0"/>
                <w:color w:val="000000"/>
                <w:sz w:val="21"/>
                <w:szCs w:val="21"/>
              </w:rPr>
              <w:t>修订日期</w:t>
            </w:r>
          </w:p>
        </w:tc>
        <w:tc>
          <w:tcPr>
            <w:tcW w:w="1609" w:type="dxa"/>
            <w:vAlign w:val="center"/>
          </w:tcPr>
          <w:p w14:paraId="121656AA">
            <w:pPr>
              <w:pStyle w:val="23"/>
              <w:ind w:left="0" w:leftChars="0" w:firstLine="0" w:firstLineChars="0"/>
              <w:jc w:val="center"/>
              <w:rPr>
                <w:rFonts w:hint="eastAsia" w:ascii="黑体" w:hAnsi="黑体" w:eastAsia="黑体" w:cs="黑体"/>
                <w:b/>
                <w:bCs w:val="0"/>
                <w:color w:val="000000"/>
                <w:sz w:val="21"/>
                <w:szCs w:val="21"/>
              </w:rPr>
            </w:pPr>
            <w:r>
              <w:rPr>
                <w:rFonts w:hint="eastAsia" w:ascii="黑体" w:hAnsi="黑体" w:eastAsia="黑体" w:cs="黑体"/>
                <w:b/>
                <w:bCs w:val="0"/>
                <w:color w:val="000000"/>
                <w:sz w:val="21"/>
                <w:szCs w:val="21"/>
              </w:rPr>
              <w:t>备注</w:t>
            </w:r>
          </w:p>
        </w:tc>
      </w:tr>
      <w:tr w14:paraId="5ACA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BCCAEB7">
            <w:pPr>
              <w:pStyle w:val="23"/>
              <w:ind w:left="0" w:leftChars="0" w:firstLine="0" w:firstLineChars="0"/>
              <w:jc w:val="center"/>
              <w:rPr>
                <w:rFonts w:hint="eastAsia" w:ascii="宋体" w:hAnsi="宋体" w:eastAsia="宋体"/>
                <w:b/>
                <w:bCs w:val="0"/>
                <w:color w:val="000000"/>
                <w:sz w:val="21"/>
                <w:lang w:val="en-US" w:eastAsia="zh-CN"/>
              </w:rPr>
            </w:pPr>
            <w:r>
              <w:rPr>
                <w:rFonts w:hint="eastAsia" w:ascii="Times New Roman" w:hAnsi="Times New Roman" w:eastAsia="宋体" w:cs="Times New Roman"/>
                <w:b/>
                <w:bCs w:val="0"/>
                <w:color w:val="000000"/>
                <w:sz w:val="21"/>
                <w:lang w:val="en-US" w:eastAsia="zh-CN"/>
              </w:rPr>
              <w:t>1</w:t>
            </w:r>
          </w:p>
        </w:tc>
        <w:tc>
          <w:tcPr>
            <w:tcW w:w="1699" w:type="dxa"/>
            <w:vAlign w:val="center"/>
          </w:tcPr>
          <w:p w14:paraId="7E5C2C94">
            <w:pPr>
              <w:pStyle w:val="23"/>
              <w:ind w:left="0" w:leftChars="0" w:firstLine="0" w:firstLineChars="0"/>
              <w:jc w:val="center"/>
              <w:rPr>
                <w:rFonts w:hint="default" w:ascii="宋体" w:hAnsi="宋体" w:eastAsia="宋体"/>
                <w:b/>
                <w:bCs w:val="0"/>
                <w:color w:val="000000"/>
                <w:sz w:val="21"/>
                <w:lang w:val="en-US" w:eastAsia="zh-CN"/>
              </w:rPr>
            </w:pPr>
            <w:r>
              <w:rPr>
                <w:rFonts w:hint="eastAsia" w:ascii="宋体" w:hAnsi="宋体" w:eastAsia="宋体"/>
                <w:b/>
                <w:bCs w:val="0"/>
                <w:color w:val="000000"/>
                <w:sz w:val="21"/>
                <w:lang w:val="en-US" w:eastAsia="zh-CN"/>
              </w:rPr>
              <w:t>初始版本，覆盖中国法域核心功能</w:t>
            </w:r>
          </w:p>
        </w:tc>
        <w:tc>
          <w:tcPr>
            <w:tcW w:w="1279" w:type="dxa"/>
            <w:vAlign w:val="center"/>
          </w:tcPr>
          <w:p w14:paraId="38B5F45B">
            <w:pPr>
              <w:pStyle w:val="23"/>
              <w:ind w:left="0" w:leftChars="0" w:firstLine="0" w:firstLineChars="0"/>
              <w:jc w:val="center"/>
              <w:rPr>
                <w:rFonts w:hint="default" w:ascii="宋体" w:hAnsi="宋体" w:eastAsia="宋体"/>
                <w:b/>
                <w:bCs w:val="0"/>
                <w:color w:val="000000"/>
                <w:sz w:val="21"/>
                <w:lang w:val="en-US" w:eastAsia="zh-CN"/>
              </w:rPr>
            </w:pPr>
            <w:r>
              <w:rPr>
                <w:rFonts w:hint="default" w:ascii="Times New Roman" w:hAnsi="Times New Roman" w:eastAsia="宋体" w:cs="Times New Roman"/>
                <w:b/>
                <w:bCs w:val="0"/>
                <w:color w:val="000000"/>
                <w:sz w:val="21"/>
                <w:lang w:val="en-US" w:eastAsia="zh-CN"/>
              </w:rPr>
              <w:t>V0.</w:t>
            </w:r>
            <w:r>
              <w:rPr>
                <w:rFonts w:hint="eastAsia" w:ascii="Times New Roman" w:hAnsi="Times New Roman" w:eastAsia="宋体" w:cs="Times New Roman"/>
                <w:b/>
                <w:bCs w:val="0"/>
                <w:color w:val="000000"/>
                <w:sz w:val="21"/>
                <w:lang w:val="en-US" w:eastAsia="zh-CN"/>
              </w:rPr>
              <w:t>1</w:t>
            </w:r>
            <w:r>
              <w:rPr>
                <w:rFonts w:hint="default" w:ascii="Times New Roman" w:hAnsi="Times New Roman" w:eastAsia="宋体" w:cs="Times New Roman"/>
                <w:b/>
                <w:bCs w:val="0"/>
                <w:color w:val="000000"/>
                <w:sz w:val="21"/>
                <w:lang w:val="en-US" w:eastAsia="zh-CN"/>
              </w:rPr>
              <w:t>.</w:t>
            </w:r>
            <w:r>
              <w:rPr>
                <w:rFonts w:hint="eastAsia" w:ascii="Times New Roman" w:hAnsi="Times New Roman" w:eastAsia="宋体" w:cs="Times New Roman"/>
                <w:b/>
                <w:bCs w:val="0"/>
                <w:color w:val="000000"/>
                <w:sz w:val="21"/>
                <w:lang w:val="en-US" w:eastAsia="zh-CN"/>
              </w:rPr>
              <w:t>0</w:t>
            </w:r>
          </w:p>
        </w:tc>
        <w:tc>
          <w:tcPr>
            <w:tcW w:w="1416" w:type="dxa"/>
            <w:vAlign w:val="center"/>
          </w:tcPr>
          <w:p w14:paraId="7168F55B">
            <w:pPr>
              <w:pStyle w:val="23"/>
              <w:ind w:left="0" w:leftChars="0" w:firstLine="0" w:firstLineChars="0"/>
              <w:jc w:val="center"/>
              <w:rPr>
                <w:rFonts w:hint="default" w:ascii="宋体" w:hAnsi="宋体" w:eastAsia="宋体"/>
                <w:b/>
                <w:bCs w:val="0"/>
                <w:color w:val="000000"/>
                <w:sz w:val="21"/>
                <w:lang w:val="en-US" w:eastAsia="zh-CN"/>
              </w:rPr>
            </w:pPr>
            <w:r>
              <w:rPr>
                <w:rFonts w:hint="eastAsia" w:ascii="宋体" w:hAnsi="宋体" w:eastAsia="宋体"/>
                <w:b/>
                <w:bCs w:val="0"/>
                <w:color w:val="000000"/>
                <w:sz w:val="21"/>
                <w:lang w:val="en-US" w:eastAsia="zh-CN"/>
              </w:rPr>
              <w:t>王思成</w:t>
            </w:r>
          </w:p>
        </w:tc>
        <w:tc>
          <w:tcPr>
            <w:tcW w:w="1703" w:type="dxa"/>
            <w:vAlign w:val="center"/>
          </w:tcPr>
          <w:p w14:paraId="624CD98B">
            <w:pPr>
              <w:pStyle w:val="23"/>
              <w:ind w:left="0" w:leftChars="0" w:firstLine="0" w:firstLineChars="0"/>
              <w:jc w:val="center"/>
              <w:rPr>
                <w:rFonts w:hint="default" w:ascii="宋体" w:hAnsi="宋体" w:eastAsia="宋体"/>
                <w:b/>
                <w:bCs w:val="0"/>
                <w:color w:val="000000"/>
                <w:sz w:val="21"/>
                <w:lang w:val="en-US" w:eastAsia="zh-CN"/>
              </w:rPr>
            </w:pPr>
            <w:r>
              <w:rPr>
                <w:rFonts w:hint="eastAsia" w:ascii="Times New Roman" w:hAnsi="Times New Roman" w:eastAsia="宋体" w:cs="Times New Roman"/>
                <w:b/>
                <w:bCs w:val="0"/>
                <w:color w:val="000000"/>
                <w:sz w:val="21"/>
                <w:lang w:val="en-US" w:eastAsia="zh-CN"/>
              </w:rPr>
              <w:t>2</w:t>
            </w:r>
            <w:r>
              <w:rPr>
                <w:rFonts w:hint="eastAsia" w:ascii="Times New Roman" w:hAnsi="Times New Roman" w:eastAsia="宋体" w:cs="Times New Roman"/>
                <w:b/>
                <w:bCs w:val="0"/>
                <w:color w:val="000000"/>
                <w:sz w:val="21"/>
                <w:lang w:val="en-US" w:eastAsia="zh"/>
              </w:rPr>
              <w:t>026.0</w:t>
            </w:r>
            <w:r>
              <w:rPr>
                <w:rFonts w:hint="eastAsia" w:ascii="Times New Roman" w:hAnsi="Times New Roman" w:eastAsia="宋体" w:cs="Times New Roman"/>
                <w:b/>
                <w:bCs w:val="0"/>
                <w:color w:val="000000"/>
                <w:sz w:val="21"/>
                <w:lang w:val="en-US" w:eastAsia="zh-CN"/>
              </w:rPr>
              <w:t>7</w:t>
            </w:r>
            <w:r>
              <w:rPr>
                <w:rFonts w:hint="eastAsia" w:ascii="Times New Roman" w:hAnsi="Times New Roman" w:eastAsia="宋体" w:cs="Times New Roman"/>
                <w:b/>
                <w:bCs w:val="0"/>
                <w:color w:val="000000"/>
                <w:sz w:val="21"/>
                <w:lang w:val="en-US" w:eastAsia="zh"/>
              </w:rPr>
              <w:t>.</w:t>
            </w:r>
            <w:r>
              <w:rPr>
                <w:rFonts w:hint="eastAsia" w:ascii="Times New Roman" w:hAnsi="Times New Roman" w:eastAsia="宋体" w:cs="Times New Roman"/>
                <w:b/>
                <w:bCs w:val="0"/>
                <w:color w:val="000000"/>
                <w:sz w:val="21"/>
                <w:lang w:val="en-US" w:eastAsia="zh-CN"/>
              </w:rPr>
              <w:t>21</w:t>
            </w:r>
          </w:p>
        </w:tc>
        <w:tc>
          <w:tcPr>
            <w:tcW w:w="1609" w:type="dxa"/>
            <w:vAlign w:val="center"/>
          </w:tcPr>
          <w:p w14:paraId="2FE1BB45">
            <w:pPr>
              <w:pStyle w:val="23"/>
              <w:ind w:left="0" w:leftChars="0" w:firstLine="0" w:firstLineChars="0"/>
              <w:jc w:val="center"/>
              <w:rPr>
                <w:rFonts w:hint="default" w:ascii="宋体" w:hAnsi="宋体" w:eastAsia="宋体"/>
                <w:b/>
                <w:bCs w:val="0"/>
                <w:color w:val="000000"/>
                <w:sz w:val="21"/>
                <w:lang w:val="en-US" w:eastAsia="zh-CN"/>
              </w:rPr>
            </w:pPr>
            <w:r>
              <w:rPr>
                <w:rFonts w:hint="eastAsia" w:ascii="宋体" w:hAnsi="宋体" w:eastAsia="宋体"/>
                <w:b/>
                <w:bCs w:val="0"/>
                <w:color w:val="000000"/>
                <w:sz w:val="21"/>
                <w:lang w:val="en-US" w:eastAsia="zh-CN"/>
              </w:rPr>
              <w:t>首次提交</w:t>
            </w:r>
          </w:p>
        </w:tc>
      </w:tr>
      <w:tr w14:paraId="4D87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E48027B">
            <w:pPr>
              <w:pStyle w:val="23"/>
              <w:jc w:val="center"/>
              <w:rPr>
                <w:rFonts w:hint="eastAsia" w:ascii="宋体" w:hAnsi="宋体" w:eastAsia="宋体"/>
                <w:b/>
                <w:color w:val="000000"/>
                <w:sz w:val="21"/>
                <w:lang w:val="en-US" w:eastAsia="zh-CN"/>
              </w:rPr>
            </w:pPr>
          </w:p>
        </w:tc>
        <w:tc>
          <w:tcPr>
            <w:tcW w:w="1699" w:type="dxa"/>
            <w:vAlign w:val="center"/>
          </w:tcPr>
          <w:p w14:paraId="58943A36">
            <w:pPr>
              <w:pStyle w:val="23"/>
              <w:jc w:val="center"/>
              <w:rPr>
                <w:rFonts w:hint="default" w:ascii="宋体" w:hAnsi="宋体" w:eastAsia="宋体"/>
                <w:b/>
                <w:color w:val="000000"/>
                <w:sz w:val="21"/>
                <w:lang w:val="en-US" w:eastAsia="zh-CN"/>
              </w:rPr>
            </w:pPr>
          </w:p>
        </w:tc>
        <w:tc>
          <w:tcPr>
            <w:tcW w:w="1279" w:type="dxa"/>
            <w:vAlign w:val="center"/>
          </w:tcPr>
          <w:p w14:paraId="6AB1679C">
            <w:pPr>
              <w:pStyle w:val="23"/>
              <w:jc w:val="center"/>
              <w:rPr>
                <w:rFonts w:hint="default" w:ascii="宋体" w:hAnsi="宋体" w:eastAsia="宋体"/>
                <w:b/>
                <w:color w:val="000000"/>
                <w:sz w:val="21"/>
                <w:lang w:val="en-US" w:eastAsia="zh-CN"/>
              </w:rPr>
            </w:pPr>
          </w:p>
        </w:tc>
        <w:tc>
          <w:tcPr>
            <w:tcW w:w="1416" w:type="dxa"/>
            <w:vAlign w:val="center"/>
          </w:tcPr>
          <w:p w14:paraId="59D8697E">
            <w:pPr>
              <w:pStyle w:val="23"/>
              <w:jc w:val="center"/>
              <w:rPr>
                <w:rFonts w:hint="default" w:ascii="宋体" w:hAnsi="宋体" w:eastAsia="宋体"/>
                <w:b/>
                <w:color w:val="000000"/>
                <w:sz w:val="21"/>
                <w:lang w:val="en-US" w:eastAsia="zh-CN"/>
              </w:rPr>
            </w:pPr>
          </w:p>
        </w:tc>
        <w:tc>
          <w:tcPr>
            <w:tcW w:w="1703" w:type="dxa"/>
            <w:shd w:val="clear" w:color="auto" w:fill="auto"/>
            <w:vAlign w:val="center"/>
          </w:tcPr>
          <w:p w14:paraId="60AF7D5F">
            <w:pPr>
              <w:jc w:val="center"/>
              <w:rPr>
                <w:rFonts w:hint="default" w:ascii="宋体" w:hAnsi="宋体" w:eastAsia="宋体" w:cstheme="minorBidi"/>
                <w:b/>
                <w:color w:val="000000"/>
                <w:kern w:val="2"/>
                <w:sz w:val="21"/>
                <w:szCs w:val="21"/>
                <w:lang w:val="en-US" w:eastAsia="zh-CN" w:bidi="ar-SA"/>
              </w:rPr>
            </w:pPr>
          </w:p>
        </w:tc>
        <w:tc>
          <w:tcPr>
            <w:tcW w:w="1609" w:type="dxa"/>
            <w:vAlign w:val="center"/>
          </w:tcPr>
          <w:p w14:paraId="7561717F">
            <w:pPr>
              <w:pStyle w:val="23"/>
              <w:jc w:val="center"/>
              <w:rPr>
                <w:rFonts w:hint="eastAsia" w:ascii="宋体" w:hAnsi="宋体" w:eastAsia="宋体"/>
                <w:b/>
                <w:color w:val="000000"/>
                <w:sz w:val="21"/>
                <w:lang w:val="en-US" w:eastAsia="zh-CN"/>
              </w:rPr>
            </w:pPr>
          </w:p>
        </w:tc>
      </w:tr>
      <w:tr w14:paraId="2224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2E56FAC">
            <w:pPr>
              <w:pStyle w:val="23"/>
              <w:jc w:val="center"/>
              <w:rPr>
                <w:rFonts w:hint="eastAsia" w:ascii="宋体" w:hAnsi="宋体" w:eastAsia="宋体"/>
                <w:b/>
                <w:color w:val="000000"/>
                <w:sz w:val="21"/>
                <w:lang w:val="en-US" w:eastAsia="zh-CN"/>
              </w:rPr>
            </w:pPr>
          </w:p>
        </w:tc>
        <w:tc>
          <w:tcPr>
            <w:tcW w:w="1699" w:type="dxa"/>
            <w:vAlign w:val="center"/>
          </w:tcPr>
          <w:p w14:paraId="50EA7D85">
            <w:pPr>
              <w:pStyle w:val="23"/>
              <w:jc w:val="center"/>
              <w:rPr>
                <w:rFonts w:hint="default" w:ascii="宋体" w:hAnsi="宋体" w:eastAsia="宋体"/>
                <w:b/>
                <w:color w:val="000000"/>
                <w:sz w:val="21"/>
                <w:lang w:val="en-US" w:eastAsia="zh-CN"/>
              </w:rPr>
            </w:pPr>
          </w:p>
        </w:tc>
        <w:tc>
          <w:tcPr>
            <w:tcW w:w="1279" w:type="dxa"/>
            <w:vAlign w:val="center"/>
          </w:tcPr>
          <w:p w14:paraId="6F30F52F">
            <w:pPr>
              <w:pStyle w:val="23"/>
              <w:jc w:val="center"/>
              <w:rPr>
                <w:rFonts w:hint="default" w:ascii="宋体" w:hAnsi="宋体" w:eastAsia="宋体"/>
                <w:b/>
                <w:color w:val="000000"/>
                <w:sz w:val="21"/>
                <w:lang w:val="en-US" w:eastAsia="zh-CN"/>
              </w:rPr>
            </w:pPr>
          </w:p>
        </w:tc>
        <w:tc>
          <w:tcPr>
            <w:tcW w:w="1416" w:type="dxa"/>
            <w:vAlign w:val="center"/>
          </w:tcPr>
          <w:p w14:paraId="1F91906C">
            <w:pPr>
              <w:pStyle w:val="23"/>
              <w:jc w:val="center"/>
              <w:rPr>
                <w:rFonts w:hint="default" w:ascii="宋体" w:hAnsi="宋体" w:eastAsia="宋体"/>
                <w:b/>
                <w:color w:val="000000"/>
                <w:sz w:val="21"/>
                <w:lang w:val="en-US" w:eastAsia="zh-CN"/>
              </w:rPr>
            </w:pPr>
          </w:p>
        </w:tc>
        <w:tc>
          <w:tcPr>
            <w:tcW w:w="1703" w:type="dxa"/>
            <w:vAlign w:val="center"/>
          </w:tcPr>
          <w:p w14:paraId="3EF6F992">
            <w:pPr>
              <w:pStyle w:val="23"/>
              <w:jc w:val="center"/>
              <w:rPr>
                <w:rFonts w:hint="default" w:ascii="宋体" w:hAnsi="宋体" w:eastAsia="宋体"/>
                <w:b/>
                <w:color w:val="000000"/>
                <w:sz w:val="21"/>
                <w:lang w:val="en-US"/>
              </w:rPr>
            </w:pPr>
          </w:p>
        </w:tc>
        <w:tc>
          <w:tcPr>
            <w:tcW w:w="1609" w:type="dxa"/>
            <w:vAlign w:val="center"/>
          </w:tcPr>
          <w:p w14:paraId="6F59ED16">
            <w:pPr>
              <w:pStyle w:val="23"/>
              <w:jc w:val="center"/>
              <w:rPr>
                <w:rFonts w:hint="eastAsia" w:ascii="宋体" w:hAnsi="宋体" w:eastAsia="宋体"/>
                <w:b/>
                <w:color w:val="000000"/>
                <w:sz w:val="21"/>
                <w:lang w:val="en-US" w:eastAsia="zh-CN"/>
              </w:rPr>
            </w:pPr>
          </w:p>
        </w:tc>
      </w:tr>
      <w:tr w14:paraId="3398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0CC4625">
            <w:pPr>
              <w:pStyle w:val="23"/>
              <w:jc w:val="center"/>
              <w:rPr>
                <w:rFonts w:hint="eastAsia" w:ascii="宋体" w:hAnsi="宋体" w:eastAsia="宋体"/>
                <w:b/>
                <w:color w:val="000000"/>
                <w:sz w:val="21"/>
                <w:lang w:val="en-US" w:eastAsia="zh-CN"/>
              </w:rPr>
            </w:pPr>
          </w:p>
        </w:tc>
        <w:tc>
          <w:tcPr>
            <w:tcW w:w="1699" w:type="dxa"/>
            <w:vAlign w:val="center"/>
          </w:tcPr>
          <w:p w14:paraId="6D0BEDFA">
            <w:pPr>
              <w:pStyle w:val="23"/>
              <w:jc w:val="center"/>
              <w:rPr>
                <w:rFonts w:hint="default" w:ascii="宋体" w:hAnsi="宋体" w:eastAsia="宋体"/>
                <w:b/>
                <w:color w:val="000000"/>
                <w:sz w:val="21"/>
                <w:lang w:val="en-US" w:eastAsia="zh-CN"/>
              </w:rPr>
            </w:pPr>
          </w:p>
        </w:tc>
        <w:tc>
          <w:tcPr>
            <w:tcW w:w="1279" w:type="dxa"/>
            <w:vAlign w:val="center"/>
          </w:tcPr>
          <w:p w14:paraId="61019DFC">
            <w:pPr>
              <w:pStyle w:val="23"/>
              <w:jc w:val="center"/>
              <w:rPr>
                <w:rFonts w:hint="default" w:ascii="宋体" w:hAnsi="宋体" w:eastAsia="宋体"/>
                <w:b/>
                <w:color w:val="000000"/>
                <w:sz w:val="21"/>
                <w:lang w:val="en-US" w:eastAsia="zh-CN"/>
              </w:rPr>
            </w:pPr>
          </w:p>
        </w:tc>
        <w:tc>
          <w:tcPr>
            <w:tcW w:w="1416" w:type="dxa"/>
            <w:vAlign w:val="center"/>
          </w:tcPr>
          <w:p w14:paraId="29F0B523">
            <w:pPr>
              <w:pStyle w:val="23"/>
              <w:jc w:val="center"/>
              <w:rPr>
                <w:rFonts w:hint="eastAsia" w:ascii="宋体" w:hAnsi="宋体" w:eastAsia="宋体"/>
                <w:b/>
                <w:color w:val="000000"/>
                <w:sz w:val="21"/>
                <w:lang w:val="en-US" w:eastAsia="zh-CN"/>
              </w:rPr>
            </w:pPr>
          </w:p>
        </w:tc>
        <w:tc>
          <w:tcPr>
            <w:tcW w:w="1703" w:type="dxa"/>
            <w:vAlign w:val="center"/>
          </w:tcPr>
          <w:p w14:paraId="31161D46">
            <w:pPr>
              <w:pStyle w:val="23"/>
              <w:jc w:val="center"/>
              <w:rPr>
                <w:rFonts w:hint="default" w:ascii="宋体" w:hAnsi="宋体" w:eastAsia="宋体"/>
                <w:b/>
                <w:color w:val="000000"/>
                <w:sz w:val="21"/>
                <w:lang w:val="en-US"/>
              </w:rPr>
            </w:pPr>
          </w:p>
        </w:tc>
        <w:tc>
          <w:tcPr>
            <w:tcW w:w="1609" w:type="dxa"/>
            <w:vAlign w:val="center"/>
          </w:tcPr>
          <w:p w14:paraId="7A875DE5">
            <w:pPr>
              <w:pStyle w:val="23"/>
              <w:jc w:val="center"/>
              <w:rPr>
                <w:rFonts w:hint="eastAsia" w:ascii="宋体" w:hAnsi="宋体" w:eastAsia="宋体"/>
                <w:b/>
                <w:color w:val="000000"/>
                <w:sz w:val="21"/>
              </w:rPr>
            </w:pPr>
          </w:p>
        </w:tc>
      </w:tr>
      <w:tr w14:paraId="4D2B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BCDDEE5">
            <w:pPr>
              <w:pStyle w:val="23"/>
              <w:jc w:val="center"/>
              <w:rPr>
                <w:rFonts w:hint="eastAsia" w:ascii="宋体" w:hAnsi="宋体" w:eastAsia="宋体"/>
                <w:b/>
                <w:color w:val="000000"/>
                <w:sz w:val="21"/>
                <w:lang w:val="en-US" w:eastAsia="zh-CN"/>
              </w:rPr>
            </w:pPr>
          </w:p>
        </w:tc>
        <w:tc>
          <w:tcPr>
            <w:tcW w:w="1699" w:type="dxa"/>
            <w:vAlign w:val="center"/>
          </w:tcPr>
          <w:p w14:paraId="41341F0F">
            <w:pPr>
              <w:pStyle w:val="23"/>
              <w:jc w:val="center"/>
              <w:rPr>
                <w:rFonts w:hint="eastAsia" w:ascii="宋体" w:hAnsi="宋体" w:eastAsia="宋体"/>
                <w:b/>
                <w:color w:val="000000"/>
                <w:sz w:val="21"/>
              </w:rPr>
            </w:pPr>
          </w:p>
        </w:tc>
        <w:tc>
          <w:tcPr>
            <w:tcW w:w="1279" w:type="dxa"/>
            <w:vAlign w:val="center"/>
          </w:tcPr>
          <w:p w14:paraId="62D70B9C">
            <w:pPr>
              <w:pStyle w:val="23"/>
              <w:jc w:val="center"/>
              <w:rPr>
                <w:rFonts w:hint="eastAsia" w:ascii="宋体" w:hAnsi="宋体" w:eastAsia="宋体"/>
                <w:b/>
                <w:color w:val="000000"/>
                <w:sz w:val="21"/>
              </w:rPr>
            </w:pPr>
          </w:p>
        </w:tc>
        <w:tc>
          <w:tcPr>
            <w:tcW w:w="1416" w:type="dxa"/>
            <w:vAlign w:val="center"/>
          </w:tcPr>
          <w:p w14:paraId="0F031C19">
            <w:pPr>
              <w:pStyle w:val="23"/>
              <w:jc w:val="center"/>
              <w:rPr>
                <w:rFonts w:hint="eastAsia" w:ascii="宋体" w:hAnsi="宋体" w:eastAsia="宋体"/>
                <w:b/>
                <w:color w:val="000000"/>
                <w:sz w:val="21"/>
              </w:rPr>
            </w:pPr>
          </w:p>
        </w:tc>
        <w:tc>
          <w:tcPr>
            <w:tcW w:w="1703" w:type="dxa"/>
            <w:vAlign w:val="center"/>
          </w:tcPr>
          <w:p w14:paraId="0B63B010">
            <w:pPr>
              <w:pStyle w:val="23"/>
              <w:jc w:val="center"/>
              <w:rPr>
                <w:rFonts w:hint="default" w:ascii="宋体" w:hAnsi="宋体" w:eastAsia="宋体"/>
                <w:b/>
                <w:color w:val="000000"/>
                <w:sz w:val="21"/>
                <w:lang w:val="en-US" w:eastAsia="zh-CN"/>
              </w:rPr>
            </w:pPr>
          </w:p>
        </w:tc>
        <w:tc>
          <w:tcPr>
            <w:tcW w:w="1609" w:type="dxa"/>
            <w:vAlign w:val="center"/>
          </w:tcPr>
          <w:p w14:paraId="0CF635AF">
            <w:pPr>
              <w:pStyle w:val="23"/>
              <w:jc w:val="center"/>
              <w:rPr>
                <w:rFonts w:hint="eastAsia" w:ascii="宋体" w:hAnsi="宋体" w:eastAsia="宋体"/>
                <w:b/>
                <w:color w:val="000000"/>
                <w:sz w:val="21"/>
              </w:rPr>
            </w:pPr>
          </w:p>
        </w:tc>
      </w:tr>
      <w:tr w14:paraId="2D77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D023032">
            <w:pPr>
              <w:pStyle w:val="23"/>
              <w:jc w:val="center"/>
              <w:rPr>
                <w:rFonts w:hint="eastAsia" w:ascii="宋体" w:hAnsi="宋体" w:eastAsia="宋体"/>
                <w:b/>
                <w:color w:val="000000"/>
                <w:sz w:val="21"/>
                <w:lang w:val="en-US" w:eastAsia="zh-CN"/>
              </w:rPr>
            </w:pPr>
          </w:p>
        </w:tc>
        <w:tc>
          <w:tcPr>
            <w:tcW w:w="1699" w:type="dxa"/>
            <w:vAlign w:val="center"/>
          </w:tcPr>
          <w:p w14:paraId="09D6633C">
            <w:pPr>
              <w:pStyle w:val="23"/>
              <w:jc w:val="center"/>
              <w:rPr>
                <w:rFonts w:hint="default" w:ascii="宋体" w:hAnsi="宋体" w:eastAsia="宋体"/>
                <w:b/>
                <w:color w:val="000000"/>
                <w:sz w:val="21"/>
                <w:lang w:val="en-US" w:eastAsia="zh-CN"/>
              </w:rPr>
            </w:pPr>
          </w:p>
        </w:tc>
        <w:tc>
          <w:tcPr>
            <w:tcW w:w="1279" w:type="dxa"/>
            <w:vAlign w:val="center"/>
          </w:tcPr>
          <w:p w14:paraId="4FF716BF">
            <w:pPr>
              <w:pStyle w:val="23"/>
              <w:jc w:val="center"/>
              <w:rPr>
                <w:rFonts w:hint="default" w:ascii="宋体" w:hAnsi="宋体" w:eastAsia="宋体"/>
                <w:b/>
                <w:color w:val="000000"/>
                <w:sz w:val="21"/>
                <w:lang w:val="en-US" w:eastAsia="zh-CN"/>
              </w:rPr>
            </w:pPr>
          </w:p>
        </w:tc>
        <w:tc>
          <w:tcPr>
            <w:tcW w:w="1416" w:type="dxa"/>
            <w:vAlign w:val="center"/>
          </w:tcPr>
          <w:p w14:paraId="70EE6286">
            <w:pPr>
              <w:pStyle w:val="23"/>
              <w:jc w:val="center"/>
              <w:rPr>
                <w:rFonts w:hint="eastAsia" w:ascii="宋体" w:hAnsi="宋体" w:eastAsia="宋体"/>
                <w:b/>
                <w:color w:val="000000"/>
                <w:sz w:val="21"/>
              </w:rPr>
            </w:pPr>
          </w:p>
        </w:tc>
        <w:tc>
          <w:tcPr>
            <w:tcW w:w="1703" w:type="dxa"/>
            <w:vAlign w:val="center"/>
          </w:tcPr>
          <w:p w14:paraId="006D030A">
            <w:pPr>
              <w:pStyle w:val="23"/>
              <w:jc w:val="center"/>
              <w:rPr>
                <w:rFonts w:hint="default" w:ascii="宋体" w:hAnsi="宋体" w:eastAsia="宋体"/>
                <w:b/>
                <w:color w:val="000000"/>
                <w:sz w:val="21"/>
                <w:lang w:val="en-US" w:eastAsia="zh-CN"/>
              </w:rPr>
            </w:pPr>
          </w:p>
        </w:tc>
        <w:tc>
          <w:tcPr>
            <w:tcW w:w="1609" w:type="dxa"/>
            <w:vAlign w:val="center"/>
          </w:tcPr>
          <w:p w14:paraId="060CA20C">
            <w:pPr>
              <w:pStyle w:val="23"/>
              <w:jc w:val="center"/>
              <w:rPr>
                <w:rFonts w:hint="eastAsia" w:ascii="宋体" w:hAnsi="宋体" w:eastAsia="宋体"/>
                <w:b/>
                <w:color w:val="000000"/>
                <w:sz w:val="21"/>
                <w:lang w:val="en-US" w:eastAsia="zh-CN"/>
              </w:rPr>
            </w:pPr>
          </w:p>
        </w:tc>
      </w:tr>
      <w:tr w14:paraId="0FDA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653EA9B">
            <w:pPr>
              <w:pStyle w:val="23"/>
              <w:jc w:val="center"/>
              <w:rPr>
                <w:rFonts w:hint="eastAsia" w:ascii="宋体" w:hAnsi="宋体" w:eastAsia="宋体"/>
                <w:b/>
                <w:color w:val="000000"/>
                <w:sz w:val="21"/>
                <w:lang w:val="en-US" w:eastAsia="zh-CN"/>
              </w:rPr>
            </w:pPr>
          </w:p>
        </w:tc>
        <w:tc>
          <w:tcPr>
            <w:tcW w:w="1699" w:type="dxa"/>
            <w:vAlign w:val="center"/>
          </w:tcPr>
          <w:p w14:paraId="59EBDB74">
            <w:pPr>
              <w:pStyle w:val="23"/>
              <w:jc w:val="center"/>
              <w:rPr>
                <w:rFonts w:hint="default" w:ascii="宋体" w:hAnsi="宋体" w:eastAsia="宋体"/>
                <w:b/>
                <w:color w:val="000000"/>
                <w:sz w:val="21"/>
                <w:lang w:val="en-US"/>
              </w:rPr>
            </w:pPr>
          </w:p>
        </w:tc>
        <w:tc>
          <w:tcPr>
            <w:tcW w:w="1279" w:type="dxa"/>
            <w:vAlign w:val="center"/>
          </w:tcPr>
          <w:p w14:paraId="5DC835F2">
            <w:pPr>
              <w:pStyle w:val="23"/>
              <w:jc w:val="center"/>
              <w:rPr>
                <w:rFonts w:hint="eastAsia" w:ascii="宋体" w:hAnsi="宋体" w:eastAsia="宋体"/>
                <w:b/>
                <w:color w:val="000000"/>
                <w:sz w:val="21"/>
              </w:rPr>
            </w:pPr>
          </w:p>
        </w:tc>
        <w:tc>
          <w:tcPr>
            <w:tcW w:w="1416" w:type="dxa"/>
            <w:vAlign w:val="center"/>
          </w:tcPr>
          <w:p w14:paraId="2ECF0E31">
            <w:pPr>
              <w:pStyle w:val="23"/>
              <w:jc w:val="center"/>
              <w:rPr>
                <w:rFonts w:hint="eastAsia" w:ascii="宋体" w:hAnsi="宋体" w:eastAsia="宋体"/>
                <w:b/>
                <w:color w:val="000000"/>
                <w:sz w:val="21"/>
              </w:rPr>
            </w:pPr>
          </w:p>
        </w:tc>
        <w:tc>
          <w:tcPr>
            <w:tcW w:w="1703" w:type="dxa"/>
            <w:vAlign w:val="center"/>
          </w:tcPr>
          <w:p w14:paraId="10CFE53D">
            <w:pPr>
              <w:bidi w:val="0"/>
              <w:jc w:val="center"/>
              <w:rPr>
                <w:rFonts w:hint="default"/>
                <w:lang w:val="en-US"/>
              </w:rPr>
            </w:pPr>
          </w:p>
        </w:tc>
        <w:tc>
          <w:tcPr>
            <w:tcW w:w="1609" w:type="dxa"/>
            <w:vAlign w:val="center"/>
          </w:tcPr>
          <w:p w14:paraId="5CCCFB3B">
            <w:pPr>
              <w:pStyle w:val="23"/>
              <w:jc w:val="center"/>
              <w:rPr>
                <w:rFonts w:hint="eastAsia" w:ascii="宋体" w:hAnsi="宋体" w:eastAsia="宋体"/>
                <w:b/>
                <w:color w:val="000000"/>
                <w:sz w:val="21"/>
              </w:rPr>
            </w:pPr>
          </w:p>
        </w:tc>
      </w:tr>
      <w:tr w14:paraId="485E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91C028A">
            <w:pPr>
              <w:pStyle w:val="23"/>
              <w:jc w:val="center"/>
              <w:rPr>
                <w:rFonts w:hint="eastAsia" w:ascii="宋体" w:hAnsi="宋体" w:eastAsia="宋体"/>
                <w:b/>
                <w:color w:val="000000"/>
                <w:sz w:val="21"/>
                <w:lang w:val="en-US" w:eastAsia="zh-CN"/>
              </w:rPr>
            </w:pPr>
          </w:p>
        </w:tc>
        <w:tc>
          <w:tcPr>
            <w:tcW w:w="1699" w:type="dxa"/>
            <w:vAlign w:val="center"/>
          </w:tcPr>
          <w:p w14:paraId="05A758FE">
            <w:pPr>
              <w:pStyle w:val="23"/>
              <w:jc w:val="center"/>
              <w:rPr>
                <w:rFonts w:hint="default" w:ascii="宋体" w:hAnsi="宋体" w:eastAsia="宋体"/>
                <w:b/>
                <w:color w:val="000000"/>
                <w:sz w:val="21"/>
                <w:lang w:val="en-US" w:eastAsia="zh-CN"/>
              </w:rPr>
            </w:pPr>
          </w:p>
        </w:tc>
        <w:tc>
          <w:tcPr>
            <w:tcW w:w="1279" w:type="dxa"/>
            <w:vAlign w:val="center"/>
          </w:tcPr>
          <w:p w14:paraId="7FFA1EC5">
            <w:pPr>
              <w:pStyle w:val="23"/>
              <w:jc w:val="center"/>
              <w:rPr>
                <w:rFonts w:hint="default" w:ascii="宋体" w:hAnsi="宋体" w:eastAsia="宋体"/>
                <w:b/>
                <w:color w:val="000000"/>
                <w:sz w:val="21"/>
                <w:lang w:val="en-US" w:eastAsia="zh-CN"/>
              </w:rPr>
            </w:pPr>
          </w:p>
        </w:tc>
        <w:tc>
          <w:tcPr>
            <w:tcW w:w="1416" w:type="dxa"/>
            <w:vAlign w:val="center"/>
          </w:tcPr>
          <w:p w14:paraId="6F50F7F2">
            <w:pPr>
              <w:pStyle w:val="23"/>
              <w:jc w:val="center"/>
              <w:rPr>
                <w:rFonts w:hint="eastAsia" w:ascii="宋体" w:hAnsi="宋体" w:eastAsia="宋体"/>
                <w:b/>
                <w:color w:val="000000"/>
                <w:sz w:val="21"/>
              </w:rPr>
            </w:pPr>
          </w:p>
        </w:tc>
        <w:tc>
          <w:tcPr>
            <w:tcW w:w="1703" w:type="dxa"/>
            <w:vAlign w:val="center"/>
          </w:tcPr>
          <w:p w14:paraId="3ECCB304">
            <w:pPr>
              <w:pStyle w:val="23"/>
              <w:jc w:val="center"/>
              <w:rPr>
                <w:rFonts w:hint="default" w:ascii="宋体" w:hAnsi="宋体" w:eastAsia="宋体"/>
                <w:b/>
                <w:color w:val="000000"/>
                <w:sz w:val="21"/>
                <w:lang w:val="en-US"/>
              </w:rPr>
            </w:pPr>
          </w:p>
        </w:tc>
        <w:tc>
          <w:tcPr>
            <w:tcW w:w="1609" w:type="dxa"/>
            <w:vAlign w:val="center"/>
          </w:tcPr>
          <w:p w14:paraId="4142A5DE">
            <w:pPr>
              <w:pStyle w:val="23"/>
              <w:jc w:val="center"/>
              <w:rPr>
                <w:rFonts w:hint="eastAsia" w:ascii="宋体" w:hAnsi="宋体" w:eastAsia="宋体"/>
                <w:b/>
                <w:color w:val="000000"/>
                <w:sz w:val="21"/>
              </w:rPr>
            </w:pPr>
          </w:p>
        </w:tc>
      </w:tr>
      <w:tr w14:paraId="6C5A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92714A6">
            <w:pPr>
              <w:pStyle w:val="23"/>
              <w:jc w:val="center"/>
              <w:rPr>
                <w:rFonts w:hint="eastAsia" w:ascii="宋体" w:hAnsi="宋体" w:eastAsia="宋体"/>
                <w:b/>
                <w:color w:val="000000"/>
                <w:sz w:val="21"/>
                <w:lang w:val="en-US" w:eastAsia="zh-CN"/>
              </w:rPr>
            </w:pPr>
          </w:p>
        </w:tc>
        <w:tc>
          <w:tcPr>
            <w:tcW w:w="1699" w:type="dxa"/>
            <w:vAlign w:val="center"/>
          </w:tcPr>
          <w:p w14:paraId="1D70A510">
            <w:pPr>
              <w:pStyle w:val="23"/>
              <w:jc w:val="center"/>
              <w:rPr>
                <w:rFonts w:hint="default" w:ascii="宋体" w:hAnsi="宋体" w:eastAsia="宋体"/>
                <w:b/>
                <w:color w:val="000000"/>
                <w:sz w:val="21"/>
                <w:lang w:val="en-US" w:eastAsia="zh-CN"/>
              </w:rPr>
            </w:pPr>
          </w:p>
        </w:tc>
        <w:tc>
          <w:tcPr>
            <w:tcW w:w="1279" w:type="dxa"/>
            <w:vAlign w:val="center"/>
          </w:tcPr>
          <w:p w14:paraId="33BE1810">
            <w:pPr>
              <w:pStyle w:val="23"/>
              <w:jc w:val="center"/>
              <w:rPr>
                <w:rFonts w:hint="default" w:ascii="宋体" w:hAnsi="宋体" w:eastAsia="宋体"/>
                <w:b/>
                <w:color w:val="000000"/>
                <w:sz w:val="21"/>
                <w:lang w:val="en-US" w:eastAsia="zh-CN"/>
              </w:rPr>
            </w:pPr>
          </w:p>
        </w:tc>
        <w:tc>
          <w:tcPr>
            <w:tcW w:w="1416" w:type="dxa"/>
            <w:vAlign w:val="center"/>
          </w:tcPr>
          <w:p w14:paraId="411A3F14">
            <w:pPr>
              <w:pStyle w:val="23"/>
              <w:jc w:val="center"/>
              <w:rPr>
                <w:rFonts w:hint="eastAsia" w:ascii="宋体" w:hAnsi="宋体" w:eastAsia="宋体"/>
                <w:b/>
                <w:color w:val="000000"/>
                <w:sz w:val="21"/>
              </w:rPr>
            </w:pPr>
          </w:p>
        </w:tc>
        <w:tc>
          <w:tcPr>
            <w:tcW w:w="1703" w:type="dxa"/>
            <w:vAlign w:val="center"/>
          </w:tcPr>
          <w:p w14:paraId="5B6A608A">
            <w:pPr>
              <w:pStyle w:val="23"/>
              <w:jc w:val="center"/>
              <w:rPr>
                <w:rFonts w:hint="default" w:ascii="宋体" w:hAnsi="宋体" w:eastAsia="宋体"/>
                <w:b/>
                <w:color w:val="000000"/>
                <w:sz w:val="21"/>
                <w:lang w:val="en-US"/>
              </w:rPr>
            </w:pPr>
          </w:p>
        </w:tc>
        <w:tc>
          <w:tcPr>
            <w:tcW w:w="1609" w:type="dxa"/>
            <w:vAlign w:val="center"/>
          </w:tcPr>
          <w:p w14:paraId="23504F75">
            <w:pPr>
              <w:pStyle w:val="23"/>
              <w:jc w:val="center"/>
              <w:rPr>
                <w:rFonts w:hint="eastAsia" w:ascii="宋体" w:hAnsi="宋体" w:eastAsia="宋体"/>
                <w:b/>
                <w:color w:val="000000"/>
                <w:sz w:val="21"/>
              </w:rPr>
            </w:pPr>
          </w:p>
        </w:tc>
      </w:tr>
      <w:tr w14:paraId="0ED4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51CACBD">
            <w:pPr>
              <w:pStyle w:val="23"/>
              <w:jc w:val="center"/>
              <w:rPr>
                <w:rFonts w:hint="default" w:ascii="宋体" w:hAnsi="宋体" w:eastAsia="宋体"/>
                <w:b/>
                <w:color w:val="000000"/>
                <w:sz w:val="21"/>
                <w:lang w:val="en-US" w:eastAsia="zh-CN"/>
              </w:rPr>
            </w:pPr>
          </w:p>
        </w:tc>
        <w:tc>
          <w:tcPr>
            <w:tcW w:w="1699" w:type="dxa"/>
            <w:vAlign w:val="center"/>
          </w:tcPr>
          <w:p w14:paraId="0F31652A">
            <w:pPr>
              <w:pStyle w:val="23"/>
              <w:jc w:val="center"/>
              <w:rPr>
                <w:rFonts w:hint="default" w:ascii="宋体" w:hAnsi="宋体" w:eastAsia="宋体"/>
                <w:b/>
                <w:color w:val="000000"/>
                <w:sz w:val="21"/>
                <w:lang w:val="en-US" w:eastAsia="zh-CN"/>
              </w:rPr>
            </w:pPr>
          </w:p>
        </w:tc>
        <w:tc>
          <w:tcPr>
            <w:tcW w:w="1279" w:type="dxa"/>
            <w:vAlign w:val="center"/>
          </w:tcPr>
          <w:p w14:paraId="5CBE6427">
            <w:pPr>
              <w:pStyle w:val="23"/>
              <w:jc w:val="center"/>
              <w:rPr>
                <w:rFonts w:hint="default" w:ascii="宋体" w:hAnsi="宋体" w:eastAsia="宋体"/>
                <w:b/>
                <w:color w:val="000000"/>
                <w:sz w:val="21"/>
                <w:lang w:val="en-US" w:eastAsia="zh-CN"/>
              </w:rPr>
            </w:pPr>
          </w:p>
        </w:tc>
        <w:tc>
          <w:tcPr>
            <w:tcW w:w="1416" w:type="dxa"/>
            <w:vAlign w:val="center"/>
          </w:tcPr>
          <w:p w14:paraId="28C761AA">
            <w:pPr>
              <w:pStyle w:val="23"/>
              <w:jc w:val="center"/>
              <w:rPr>
                <w:rFonts w:hint="eastAsia" w:ascii="宋体" w:hAnsi="宋体" w:eastAsia="宋体"/>
                <w:b/>
                <w:color w:val="000000"/>
                <w:sz w:val="21"/>
              </w:rPr>
            </w:pPr>
          </w:p>
        </w:tc>
        <w:tc>
          <w:tcPr>
            <w:tcW w:w="1703" w:type="dxa"/>
            <w:vAlign w:val="center"/>
          </w:tcPr>
          <w:p w14:paraId="7CDA7CE8">
            <w:pPr>
              <w:pStyle w:val="23"/>
              <w:jc w:val="center"/>
              <w:rPr>
                <w:rFonts w:hint="default" w:ascii="宋体" w:hAnsi="宋体" w:eastAsia="宋体"/>
                <w:b/>
                <w:color w:val="000000"/>
                <w:sz w:val="21"/>
                <w:lang w:val="en-US"/>
              </w:rPr>
            </w:pPr>
          </w:p>
        </w:tc>
        <w:tc>
          <w:tcPr>
            <w:tcW w:w="1609" w:type="dxa"/>
            <w:vAlign w:val="center"/>
          </w:tcPr>
          <w:p w14:paraId="4E5D9369">
            <w:pPr>
              <w:pStyle w:val="23"/>
              <w:jc w:val="center"/>
              <w:rPr>
                <w:rFonts w:hint="eastAsia" w:ascii="宋体" w:hAnsi="宋体" w:eastAsia="宋体"/>
                <w:b/>
                <w:color w:val="000000"/>
                <w:sz w:val="21"/>
              </w:rPr>
            </w:pPr>
          </w:p>
        </w:tc>
      </w:tr>
      <w:tr w14:paraId="6401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302A818">
            <w:pPr>
              <w:pStyle w:val="23"/>
              <w:jc w:val="center"/>
              <w:rPr>
                <w:rFonts w:hint="default" w:ascii="宋体" w:hAnsi="宋体" w:eastAsia="宋体"/>
                <w:b/>
                <w:color w:val="000000"/>
                <w:sz w:val="21"/>
                <w:lang w:val="en-US" w:eastAsia="zh-CN"/>
              </w:rPr>
            </w:pPr>
          </w:p>
        </w:tc>
        <w:tc>
          <w:tcPr>
            <w:tcW w:w="1699" w:type="dxa"/>
            <w:vAlign w:val="center"/>
          </w:tcPr>
          <w:p w14:paraId="171B71F6">
            <w:pPr>
              <w:pStyle w:val="23"/>
              <w:jc w:val="center"/>
              <w:rPr>
                <w:rFonts w:hint="default" w:ascii="宋体" w:hAnsi="宋体" w:eastAsia="宋体"/>
                <w:b/>
                <w:color w:val="000000"/>
                <w:sz w:val="21"/>
                <w:lang w:val="en-US" w:eastAsia="zh-CN"/>
              </w:rPr>
            </w:pPr>
          </w:p>
        </w:tc>
        <w:tc>
          <w:tcPr>
            <w:tcW w:w="1279" w:type="dxa"/>
            <w:vAlign w:val="center"/>
          </w:tcPr>
          <w:p w14:paraId="09472418">
            <w:pPr>
              <w:pStyle w:val="23"/>
              <w:jc w:val="center"/>
              <w:rPr>
                <w:rFonts w:hint="default" w:ascii="宋体" w:hAnsi="宋体" w:eastAsia="宋体"/>
                <w:b/>
                <w:color w:val="000000"/>
                <w:sz w:val="21"/>
                <w:lang w:val="en-US" w:eastAsia="zh-CN"/>
              </w:rPr>
            </w:pPr>
          </w:p>
        </w:tc>
        <w:tc>
          <w:tcPr>
            <w:tcW w:w="1416" w:type="dxa"/>
            <w:vAlign w:val="center"/>
          </w:tcPr>
          <w:p w14:paraId="1312D060">
            <w:pPr>
              <w:pStyle w:val="23"/>
              <w:jc w:val="center"/>
              <w:rPr>
                <w:rFonts w:hint="eastAsia" w:ascii="宋体" w:hAnsi="宋体" w:eastAsia="宋体"/>
                <w:b/>
                <w:color w:val="000000"/>
                <w:sz w:val="21"/>
              </w:rPr>
            </w:pPr>
          </w:p>
        </w:tc>
        <w:tc>
          <w:tcPr>
            <w:tcW w:w="1703" w:type="dxa"/>
            <w:vAlign w:val="center"/>
          </w:tcPr>
          <w:p w14:paraId="0FC023F8">
            <w:pPr>
              <w:pStyle w:val="23"/>
              <w:jc w:val="center"/>
              <w:rPr>
                <w:rFonts w:hint="default" w:ascii="宋体" w:hAnsi="宋体" w:eastAsia="宋体"/>
                <w:b/>
                <w:color w:val="000000"/>
                <w:sz w:val="21"/>
                <w:lang w:val="en-US"/>
              </w:rPr>
            </w:pPr>
          </w:p>
        </w:tc>
        <w:tc>
          <w:tcPr>
            <w:tcW w:w="1609" w:type="dxa"/>
            <w:vAlign w:val="center"/>
          </w:tcPr>
          <w:p w14:paraId="6FCF949E">
            <w:pPr>
              <w:pStyle w:val="23"/>
              <w:jc w:val="center"/>
              <w:rPr>
                <w:rFonts w:hint="eastAsia" w:ascii="宋体" w:hAnsi="宋体" w:eastAsia="宋体"/>
                <w:b/>
                <w:color w:val="000000"/>
                <w:sz w:val="21"/>
              </w:rPr>
            </w:pPr>
          </w:p>
        </w:tc>
      </w:tr>
      <w:bookmarkEnd w:id="0"/>
    </w:tbl>
    <w:p w14:paraId="3E3A855A">
      <w:pPr>
        <w:rPr>
          <w:rFonts w:hint="default"/>
        </w:rPr>
      </w:pPr>
      <w:bookmarkStart w:id="1" w:name="_Toc31292"/>
      <w:r>
        <w:rPr>
          <w:rFonts w:hint="default" w:ascii="Times New Roman" w:hAnsi="Times New Roman" w:cs="Times New Roman"/>
        </w:rPr>
        <w:br w:type="page"/>
      </w:r>
    </w:p>
    <w:p w14:paraId="138DA954">
      <w:pPr>
        <w:pStyle w:val="22"/>
        <w:spacing w:after="156" w:afterLines="50" w:line="300" w:lineRule="auto"/>
        <w:ind w:left="0" w:leftChars="0" w:firstLine="0" w:firstLineChars="0"/>
        <w:jc w:val="center"/>
        <w:rPr>
          <w:rFonts w:hint="default" w:ascii="黑体" w:hAnsi="黑体" w:eastAsia="黑体" w:cs="宋体"/>
          <w:color w:val="000000"/>
          <w:sz w:val="36"/>
        </w:rPr>
      </w:pPr>
      <w:r>
        <w:rPr>
          <w:rFonts w:hint="default" w:ascii="黑体" w:hAnsi="黑体" w:eastAsia="黑体" w:cs="宋体"/>
          <w:color w:val="000000"/>
          <w:sz w:val="36"/>
        </w:rPr>
        <w:t>术语定义页</w:t>
      </w:r>
      <w:bookmarkEnd w:id="1"/>
    </w:p>
    <w:p w14:paraId="3AC03F2D">
      <w:pPr>
        <w:pStyle w:val="14"/>
        <w:keepNext w:val="0"/>
        <w:keepLines w:val="0"/>
        <w:widowControl/>
        <w:suppressLineNumbers w:val="0"/>
        <w:spacing w:line="360" w:lineRule="auto"/>
        <w:rPr>
          <w:rFonts w:hint="default" w:ascii="Times New Roman" w:hAnsi="Times New Roman" w:eastAsia="宋体" w:cs="Times New Roman"/>
        </w:rPr>
      </w:pPr>
      <w:r>
        <w:rPr>
          <w:rFonts w:hint="default" w:ascii="Times New Roman" w:hAnsi="Times New Roman" w:eastAsia="宋体" w:cs="Times New Roman"/>
        </w:rPr>
        <w:t>为统一法学表述、避免歧义，核心术语严格依据现行有效法律法规定义：</w:t>
      </w:r>
    </w:p>
    <w:p w14:paraId="27DE23B5">
      <w:pPr>
        <w:pStyle w:val="14"/>
        <w:keepNext w:val="0"/>
        <w:keepLines w:val="0"/>
        <w:widowControl/>
        <w:suppressLineNumbers w:val="0"/>
        <w:spacing w:line="360" w:lineRule="auto"/>
        <w:rPr>
          <w:rFonts w:hint="default" w:ascii="Times New Roman" w:hAnsi="Times New Roman" w:eastAsia="宋体" w:cs="Times New Roman"/>
        </w:rPr>
      </w:pPr>
      <w:r>
        <w:rPr>
          <w:rStyle w:val="18"/>
          <w:rFonts w:hint="default" w:ascii="Times New Roman" w:hAnsi="Times New Roman" w:eastAsia="宋体" w:cs="Times New Roman"/>
        </w:rPr>
        <w:t>数据出境</w:t>
      </w:r>
      <w:r>
        <w:rPr>
          <w:rFonts w:hint="default" w:ascii="Times New Roman" w:hAnsi="Times New Roman" w:eastAsia="宋体" w:cs="Times New Roman"/>
        </w:rPr>
        <w:t>：指《数据出境安全评估办法》第2条规定的三类场景：①境内数据传输至境外；②境外主体可访问境内数据；③其他监管认定的出境场景（如远程访问、过境数据）</w:t>
      </w:r>
    </w:p>
    <w:p w14:paraId="02AA2A82">
      <w:pPr>
        <w:pStyle w:val="14"/>
        <w:keepNext w:val="0"/>
        <w:keepLines w:val="0"/>
        <w:widowControl/>
        <w:suppressLineNumbers w:val="0"/>
        <w:spacing w:line="360" w:lineRule="auto"/>
        <w:rPr>
          <w:rFonts w:hint="default" w:ascii="Times New Roman" w:hAnsi="Times New Roman" w:eastAsia="宋体" w:cs="Times New Roman"/>
        </w:rPr>
      </w:pPr>
      <w:r>
        <w:rPr>
          <w:rStyle w:val="18"/>
          <w:rFonts w:hint="default" w:ascii="Times New Roman" w:hAnsi="Times New Roman" w:eastAsia="宋体" w:cs="Times New Roman"/>
        </w:rPr>
        <w:t>重要数据</w:t>
      </w:r>
      <w:r>
        <w:rPr>
          <w:rFonts w:hint="default" w:ascii="Times New Roman" w:hAnsi="Times New Roman" w:eastAsia="宋体" w:cs="Times New Roman"/>
        </w:rPr>
        <w:t>：指《数据安全法》第21条规定的，一旦遭篡改、破坏、泄露或非法获取利用可能危害国家安全、公共利益的数据，具体以各行业重要数据目录为准</w:t>
      </w:r>
    </w:p>
    <w:p w14:paraId="6BD16C13">
      <w:pPr>
        <w:pStyle w:val="14"/>
        <w:keepNext w:val="0"/>
        <w:keepLines w:val="0"/>
        <w:widowControl/>
        <w:suppressLineNumbers w:val="0"/>
        <w:spacing w:line="360" w:lineRule="auto"/>
        <w:rPr>
          <w:rFonts w:hint="default" w:ascii="Times New Roman" w:hAnsi="Times New Roman" w:eastAsia="宋体" w:cs="Times New Roman"/>
        </w:rPr>
      </w:pPr>
      <w:r>
        <w:rPr>
          <w:rStyle w:val="18"/>
          <w:rFonts w:hint="default" w:ascii="Times New Roman" w:hAnsi="Times New Roman" w:eastAsia="宋体" w:cs="Times New Roman"/>
        </w:rPr>
        <w:t>CIIO</w:t>
      </w:r>
      <w:r>
        <w:rPr>
          <w:rFonts w:hint="default" w:ascii="Times New Roman" w:hAnsi="Times New Roman" w:eastAsia="宋体" w:cs="Times New Roman"/>
        </w:rPr>
        <w:t>：关键信息基础设施运营者，指《关键信息基础设施安全保护条例》规定的公共通信、能源、交通、金融、电子政务等领域运营者</w:t>
      </w:r>
    </w:p>
    <w:p w14:paraId="2AECB4B7">
      <w:pPr>
        <w:pStyle w:val="14"/>
        <w:keepNext w:val="0"/>
        <w:keepLines w:val="0"/>
        <w:widowControl/>
        <w:suppressLineNumbers w:val="0"/>
        <w:spacing w:line="360" w:lineRule="auto"/>
        <w:rPr>
          <w:rFonts w:hint="default" w:ascii="Times New Roman" w:hAnsi="Times New Roman" w:eastAsia="宋体" w:cs="Times New Roman"/>
        </w:rPr>
      </w:pPr>
      <w:r>
        <w:rPr>
          <w:rStyle w:val="18"/>
          <w:rFonts w:hint="default" w:ascii="Times New Roman" w:hAnsi="Times New Roman" w:eastAsia="宋体" w:cs="Times New Roman"/>
        </w:rPr>
        <w:t>SCC</w:t>
      </w:r>
      <w:r>
        <w:rPr>
          <w:rFonts w:hint="default" w:ascii="Times New Roman" w:hAnsi="Times New Roman" w:eastAsia="宋体" w:cs="Times New Roman"/>
        </w:rPr>
        <w:t>：标准合同，指《个人信息出境标准合同办法》规定的个人信息出境必备合同模板</w:t>
      </w:r>
    </w:p>
    <w:p w14:paraId="31E8AA24">
      <w:pPr>
        <w:pStyle w:val="14"/>
        <w:keepNext w:val="0"/>
        <w:keepLines w:val="0"/>
        <w:widowControl/>
        <w:suppressLineNumbers w:val="0"/>
        <w:spacing w:line="360" w:lineRule="auto"/>
        <w:rPr>
          <w:rFonts w:hint="default" w:ascii="Times New Roman" w:hAnsi="Times New Roman" w:eastAsia="宋体" w:cs="Times New Roman"/>
        </w:rPr>
      </w:pPr>
      <w:r>
        <w:rPr>
          <w:rStyle w:val="18"/>
          <w:rFonts w:hint="default" w:ascii="Times New Roman" w:hAnsi="Times New Roman" w:eastAsia="宋体" w:cs="Times New Roman"/>
        </w:rPr>
        <w:t>PIA</w:t>
      </w:r>
      <w:r>
        <w:rPr>
          <w:rFonts w:hint="default" w:ascii="Times New Roman" w:hAnsi="Times New Roman" w:eastAsia="宋体" w:cs="Times New Roman"/>
        </w:rPr>
        <w:t>：个人信息保护影响评估，指《个人信息保护法》第56条规定的个人信息处理前强制风险评估</w:t>
      </w:r>
    </w:p>
    <w:p w14:paraId="62B4A938">
      <w:pPr>
        <w:pStyle w:val="14"/>
        <w:keepNext w:val="0"/>
        <w:keepLines w:val="0"/>
        <w:widowControl/>
        <w:suppressLineNumbers w:val="0"/>
        <w:spacing w:line="360" w:lineRule="auto"/>
        <w:rPr>
          <w:rFonts w:hint="default" w:ascii="Times New Roman" w:hAnsi="Times New Roman" w:eastAsia="宋体" w:cs="Times New Roman"/>
        </w:rPr>
      </w:pPr>
      <w:r>
        <w:rPr>
          <w:rStyle w:val="18"/>
          <w:rFonts w:hint="default" w:ascii="Times New Roman" w:hAnsi="Times New Roman" w:eastAsia="宋体" w:cs="Times New Roman"/>
        </w:rPr>
        <w:t>EO14117</w:t>
      </w:r>
      <w:r>
        <w:rPr>
          <w:rFonts w:hint="default" w:ascii="Times New Roman" w:hAnsi="Times New Roman" w:eastAsia="宋体" w:cs="Times New Roman"/>
        </w:rPr>
        <w:t>：美国2024年《关于防止受关注国家获取美国人批量敏感个人数据的行政令》，限制向中国等受关注国家传输批量敏感个人数据</w:t>
      </w:r>
    </w:p>
    <w:p w14:paraId="14808F95">
      <w:pPr>
        <w:keepNext w:val="0"/>
        <w:keepLines w:val="0"/>
        <w:widowControl/>
        <w:suppressLineNumbers w:val="0"/>
        <w:spacing w:line="360" w:lineRule="auto"/>
        <w:rPr>
          <w:rFonts w:hint="default" w:ascii="Times New Roman" w:hAnsi="Times New Roman" w:eastAsia="宋体" w:cs="Times New Roman"/>
        </w:rPr>
      </w:pPr>
    </w:p>
    <w:p w14:paraId="4F1BEDD4">
      <w:pPr>
        <w:spacing w:line="360" w:lineRule="auto"/>
        <w:rPr>
          <w:rFonts w:hint="default" w:ascii="Times New Roman" w:hAnsi="Times New Roman" w:eastAsia="宋体" w:cs="Times New Roman"/>
        </w:rPr>
      </w:pPr>
      <w:r>
        <w:rPr>
          <w:rFonts w:hint="default" w:ascii="Times New Roman" w:hAnsi="Times New Roman" w:eastAsia="宋体" w:cs="Times New Roman"/>
        </w:rPr>
        <w:br w:type="page"/>
      </w:r>
    </w:p>
    <w:sdt>
      <w:sdtPr>
        <w:rPr>
          <w:rFonts w:ascii="宋体" w:hAnsi="宋体" w:eastAsia="宋体" w:cs="宋体"/>
          <w:kern w:val="2"/>
          <w:sz w:val="28"/>
          <w:szCs w:val="36"/>
          <w:lang w:val="en-US" w:eastAsia="zh-CN" w:bidi="ar-SA"/>
        </w:rPr>
        <w:id w:val="147476025"/>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2D2628E5">
          <w:pPr>
            <w:keepNext w:val="0"/>
            <w:keepLines w:val="0"/>
            <w:widowControl/>
            <w:suppressLineNumbers w:val="0"/>
            <w:spacing w:line="360" w:lineRule="auto"/>
            <w:jc w:val="center"/>
            <w:rPr>
              <w:rFonts w:hint="default" w:ascii="Times New Roman" w:hAnsi="Times New Roman" w:eastAsia="宋体" w:cs="Times New Roman"/>
              <w:kern w:val="2"/>
              <w:sz w:val="24"/>
              <w:szCs w:val="24"/>
              <w:lang w:val="en-US" w:eastAsia="zh-CN" w:bidi="ar-SA"/>
            </w:rPr>
          </w:pPr>
          <w:r>
            <w:rPr>
              <w:rFonts w:hint="eastAsia" w:ascii="黑体" w:hAnsi="黑体" w:eastAsia="黑体" w:cs="黑体"/>
              <w:sz w:val="36"/>
              <w:szCs w:val="36"/>
            </w:rPr>
            <w:t>目录</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"1-2" \h \u </w:instrText>
          </w:r>
          <w:r>
            <w:rPr>
              <w:rFonts w:hint="default" w:ascii="Times New Roman" w:hAnsi="Times New Roman" w:eastAsia="宋体" w:cs="Times New Roman"/>
            </w:rPr>
            <w:fldChar w:fldCharType="separate"/>
          </w:r>
        </w:p>
        <w:p w14:paraId="484D51E3">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_Toc7401 </w:instrText>
          </w:r>
          <w:r>
            <w:rPr>
              <w:rFonts w:hint="default" w:ascii="Times New Roman" w:hAnsi="Times New Roman" w:eastAsia="宋体" w:cs="Times New Roman"/>
            </w:rPr>
            <w:fldChar w:fldCharType="separate"/>
          </w:r>
          <w:r>
            <w:rPr>
              <w:rFonts w:hint="default" w:ascii="Times New Roman" w:hAnsi="Times New Roman" w:cs="Times New Roman"/>
              <w:lang w:val="en-US" w:eastAsia="zh-CN"/>
            </w:rPr>
            <w:t>1. 文档概述</w:t>
          </w:r>
          <w:r>
            <w:tab/>
          </w:r>
          <w:r>
            <w:fldChar w:fldCharType="begin"/>
          </w:r>
          <w:r>
            <w:instrText xml:space="preserve"> PAGEREF _Toc7401 \h </w:instrText>
          </w:r>
          <w:r>
            <w:fldChar w:fldCharType="separate"/>
          </w:r>
          <w:r>
            <w:t>1</w:t>
          </w:r>
          <w:r>
            <w:fldChar w:fldCharType="end"/>
          </w:r>
          <w:r>
            <w:rPr>
              <w:rFonts w:hint="default" w:ascii="Times New Roman" w:hAnsi="Times New Roman" w:eastAsia="宋体" w:cs="Times New Roman"/>
            </w:rPr>
            <w:fldChar w:fldCharType="end"/>
          </w:r>
        </w:p>
        <w:p w14:paraId="113635DD">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_Toc20370 </w:instrText>
          </w:r>
          <w:r>
            <w:rPr>
              <w:rFonts w:hint="default" w:ascii="Times New Roman" w:hAnsi="Times New Roman" w:eastAsia="宋体" w:cs="Times New Roman"/>
            </w:rPr>
            <w:fldChar w:fldCharType="separate"/>
          </w:r>
          <w:r>
            <w:rPr>
              <w:rFonts w:hint="default" w:ascii="Times New Roman" w:hAnsi="Times New Roman" w:cs="Times New Roman"/>
            </w:rPr>
            <w:t>1.1 文档定位</w:t>
          </w:r>
          <w:r>
            <w:tab/>
          </w:r>
          <w:r>
            <w:fldChar w:fldCharType="begin"/>
          </w:r>
          <w:r>
            <w:instrText xml:space="preserve"> PAGEREF _Toc20370 \h </w:instrText>
          </w:r>
          <w:r>
            <w:fldChar w:fldCharType="separate"/>
          </w:r>
          <w:r>
            <w:t>1</w:t>
          </w:r>
          <w:r>
            <w:fldChar w:fldCharType="end"/>
          </w:r>
          <w:r>
            <w:rPr>
              <w:rFonts w:hint="default" w:ascii="Times New Roman" w:hAnsi="Times New Roman" w:eastAsia="宋体" w:cs="Times New Roman"/>
            </w:rPr>
            <w:fldChar w:fldCharType="end"/>
          </w:r>
        </w:p>
        <w:p w14:paraId="3728B46F">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_Toc29945 </w:instrText>
          </w:r>
          <w:r>
            <w:rPr>
              <w:rFonts w:hint="default" w:ascii="Times New Roman" w:hAnsi="Times New Roman" w:eastAsia="宋体" w:cs="Times New Roman"/>
            </w:rPr>
            <w:fldChar w:fldCharType="separate"/>
          </w:r>
          <w:r>
            <w:rPr>
              <w:rFonts w:hint="default" w:ascii="Times New Roman" w:hAnsi="Times New Roman" w:cs="Times New Roman"/>
            </w:rPr>
            <w:t>1.2 文档管理规范</w:t>
          </w:r>
          <w:r>
            <w:tab/>
          </w:r>
          <w:r>
            <w:fldChar w:fldCharType="begin"/>
          </w:r>
          <w:r>
            <w:instrText xml:space="preserve"> PAGEREF _Toc29945 \h </w:instrText>
          </w:r>
          <w:r>
            <w:fldChar w:fldCharType="separate"/>
          </w:r>
          <w:r>
            <w:t>1</w:t>
          </w:r>
          <w:r>
            <w:fldChar w:fldCharType="end"/>
          </w:r>
          <w:r>
            <w:rPr>
              <w:rFonts w:hint="default" w:ascii="Times New Roman" w:hAnsi="Times New Roman" w:eastAsia="宋体" w:cs="Times New Roman"/>
            </w:rPr>
            <w:fldChar w:fldCharType="end"/>
          </w:r>
        </w:p>
        <w:p w14:paraId="6BEFBAD4">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_Toc6286 </w:instrText>
          </w:r>
          <w:r>
            <w:rPr>
              <w:rFonts w:hint="default" w:ascii="Times New Roman" w:hAnsi="Times New Roman" w:eastAsia="宋体" w:cs="Times New Roman"/>
            </w:rPr>
            <w:fldChar w:fldCharType="separate"/>
          </w:r>
          <w:r>
            <w:rPr>
              <w:rFonts w:hint="default" w:ascii="Times New Roman" w:hAnsi="Times New Roman" w:eastAsia="宋体" w:cs="Times New Roman"/>
              <w:bCs w:val="0"/>
              <w:kern w:val="44"/>
              <w:szCs w:val="24"/>
              <w:lang w:val="en-US" w:eastAsia="zh-CN" w:bidi="ar-SA"/>
            </w:rPr>
            <w:t>2. 产品概述</w:t>
          </w:r>
          <w:r>
            <w:tab/>
          </w:r>
          <w:r>
            <w:fldChar w:fldCharType="begin"/>
          </w:r>
          <w:r>
            <w:instrText xml:space="preserve"> PAGEREF _Toc6286 \h </w:instrText>
          </w:r>
          <w:r>
            <w:fldChar w:fldCharType="separate"/>
          </w:r>
          <w:r>
            <w:t>2</w:t>
          </w:r>
          <w:r>
            <w:fldChar w:fldCharType="end"/>
          </w:r>
          <w:r>
            <w:rPr>
              <w:rFonts w:hint="default" w:ascii="Times New Roman" w:hAnsi="Times New Roman" w:eastAsia="宋体" w:cs="Times New Roman"/>
            </w:rPr>
            <w:fldChar w:fldCharType="end"/>
          </w:r>
        </w:p>
        <w:p w14:paraId="37D7E7D0">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_Toc20132 </w:instrText>
          </w:r>
          <w:r>
            <w:rPr>
              <w:rFonts w:hint="default" w:ascii="Times New Roman" w:hAnsi="Times New Roman" w:eastAsia="宋体" w:cs="Times New Roman"/>
            </w:rPr>
            <w:fldChar w:fldCharType="separate"/>
          </w:r>
          <w:r>
            <w:rPr>
              <w:rFonts w:hint="default" w:ascii="Times New Roman" w:hAnsi="Times New Roman" w:cs="Times New Roman"/>
            </w:rPr>
            <w:t>2.1 立项背景</w:t>
          </w:r>
          <w:r>
            <w:tab/>
          </w:r>
          <w:r>
            <w:fldChar w:fldCharType="begin"/>
          </w:r>
          <w:r>
            <w:instrText xml:space="preserve"> PAGEREF _Toc20132 \h </w:instrText>
          </w:r>
          <w:r>
            <w:fldChar w:fldCharType="separate"/>
          </w:r>
          <w:r>
            <w:t>2</w:t>
          </w:r>
          <w:r>
            <w:fldChar w:fldCharType="end"/>
          </w:r>
          <w:r>
            <w:rPr>
              <w:rFonts w:hint="default" w:ascii="Times New Roman" w:hAnsi="Times New Roman" w:eastAsia="宋体" w:cs="Times New Roman"/>
            </w:rPr>
            <w:fldChar w:fldCharType="end"/>
          </w:r>
        </w:p>
        <w:p w14:paraId="3DF08873">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_Toc30036 </w:instrText>
          </w:r>
          <w:r>
            <w:rPr>
              <w:rFonts w:hint="default" w:ascii="Times New Roman" w:hAnsi="Times New Roman" w:eastAsia="宋体" w:cs="Times New Roman"/>
            </w:rPr>
            <w:fldChar w:fldCharType="separate"/>
          </w:r>
          <w:r>
            <w:rPr>
              <w:rFonts w:hint="default" w:ascii="Times New Roman" w:hAnsi="Times New Roman" w:cs="Times New Roman"/>
            </w:rPr>
            <w:t>2.2 产品定位</w:t>
          </w:r>
          <w:r>
            <w:tab/>
          </w:r>
          <w:r>
            <w:fldChar w:fldCharType="begin"/>
          </w:r>
          <w:r>
            <w:instrText xml:space="preserve"> PAGEREF _Toc30036 \h </w:instrText>
          </w:r>
          <w:r>
            <w:fldChar w:fldCharType="separate"/>
          </w:r>
          <w:r>
            <w:t>4</w:t>
          </w:r>
          <w:r>
            <w:fldChar w:fldCharType="end"/>
          </w:r>
          <w:r>
            <w:rPr>
              <w:rFonts w:hint="default" w:ascii="Times New Roman" w:hAnsi="Times New Roman" w:eastAsia="宋体" w:cs="Times New Roman"/>
            </w:rPr>
            <w:fldChar w:fldCharType="end"/>
          </w:r>
        </w:p>
        <w:p w14:paraId="6657BB3F">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_Toc25624 </w:instrText>
          </w:r>
          <w:r>
            <w:rPr>
              <w:rFonts w:hint="default" w:ascii="Times New Roman" w:hAnsi="Times New Roman" w:eastAsia="宋体" w:cs="Times New Roman"/>
            </w:rPr>
            <w:fldChar w:fldCharType="separate"/>
          </w:r>
          <w:r>
            <w:rPr>
              <w:rFonts w:hint="default" w:ascii="Times New Roman" w:hAnsi="Times New Roman" w:cs="Times New Roman"/>
            </w:rPr>
            <w:t>2.3 核心目标（法学向，分三阶段，可量化验收）</w:t>
          </w:r>
          <w:r>
            <w:tab/>
          </w:r>
          <w:r>
            <w:fldChar w:fldCharType="begin"/>
          </w:r>
          <w:r>
            <w:instrText xml:space="preserve"> PAGEREF _Toc25624 \h </w:instrText>
          </w:r>
          <w:r>
            <w:fldChar w:fldCharType="separate"/>
          </w:r>
          <w:r>
            <w:t>4</w:t>
          </w:r>
          <w:r>
            <w:fldChar w:fldCharType="end"/>
          </w:r>
          <w:r>
            <w:rPr>
              <w:rFonts w:hint="default" w:ascii="Times New Roman" w:hAnsi="Times New Roman" w:eastAsia="宋体" w:cs="Times New Roman"/>
            </w:rPr>
            <w:fldChar w:fldCharType="end"/>
          </w:r>
        </w:p>
        <w:p w14:paraId="2104DC61">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_Toc30270 </w:instrText>
          </w:r>
          <w:r>
            <w:rPr>
              <w:rFonts w:hint="default" w:ascii="Times New Roman" w:hAnsi="Times New Roman" w:eastAsia="宋体" w:cs="Times New Roman"/>
            </w:rPr>
            <w:fldChar w:fldCharType="separate"/>
          </w:r>
          <w:r>
            <w:rPr>
              <w:rFonts w:hint="default" w:ascii="Times New Roman" w:hAnsi="Times New Roman" w:cs="Times New Roman"/>
            </w:rPr>
            <w:t>2.4 产品范围与边界</w:t>
          </w:r>
          <w:r>
            <w:tab/>
          </w:r>
          <w:r>
            <w:fldChar w:fldCharType="begin"/>
          </w:r>
          <w:r>
            <w:instrText xml:space="preserve"> PAGEREF _Toc30270 \h </w:instrText>
          </w:r>
          <w:r>
            <w:fldChar w:fldCharType="separate"/>
          </w:r>
          <w:r>
            <w:t>5</w:t>
          </w:r>
          <w:r>
            <w:fldChar w:fldCharType="end"/>
          </w:r>
          <w:r>
            <w:rPr>
              <w:rFonts w:hint="default" w:ascii="Times New Roman" w:hAnsi="Times New Roman" w:eastAsia="宋体" w:cs="Times New Roman"/>
            </w:rPr>
            <w:fldChar w:fldCharType="end"/>
          </w:r>
        </w:p>
        <w:p w14:paraId="27A0491B">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_Toc20395 </w:instrText>
          </w:r>
          <w:r>
            <w:rPr>
              <w:rFonts w:hint="default" w:ascii="Times New Roman" w:hAnsi="Times New Roman" w:eastAsia="宋体" w:cs="Times New Roman"/>
            </w:rPr>
            <w:fldChar w:fldCharType="separate"/>
          </w:r>
          <w:r>
            <w:rPr>
              <w:rFonts w:hint="default" w:ascii="Times New Roman" w:hAnsi="Times New Roman" w:cs="Times New Roman"/>
              <w:lang w:val="en-US" w:eastAsia="zh-CN"/>
            </w:rPr>
            <w:t>3. 目标用户与核心场景</w:t>
          </w:r>
          <w:r>
            <w:tab/>
          </w:r>
          <w:r>
            <w:fldChar w:fldCharType="begin"/>
          </w:r>
          <w:r>
            <w:instrText xml:space="preserve"> PAGEREF _Toc20395 \h </w:instrText>
          </w:r>
          <w:r>
            <w:fldChar w:fldCharType="separate"/>
          </w:r>
          <w:r>
            <w:t>8</w:t>
          </w:r>
          <w:r>
            <w:fldChar w:fldCharType="end"/>
          </w:r>
          <w:r>
            <w:rPr>
              <w:rFonts w:hint="default" w:ascii="Times New Roman" w:hAnsi="Times New Roman" w:eastAsia="宋体" w:cs="Times New Roman"/>
            </w:rPr>
            <w:fldChar w:fldCharType="end"/>
          </w:r>
        </w:p>
        <w:p w14:paraId="68CC6E01">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_Toc21053 </w:instrText>
          </w:r>
          <w:r>
            <w:rPr>
              <w:rFonts w:hint="default" w:ascii="Times New Roman" w:hAnsi="Times New Roman" w:eastAsia="宋体" w:cs="Times New Roman"/>
            </w:rPr>
            <w:fldChar w:fldCharType="separate"/>
          </w:r>
          <w:r>
            <w:rPr>
              <w:rFonts w:hint="default" w:ascii="Times New Roman" w:hAnsi="Times New Roman" w:cs="Times New Roman"/>
            </w:rPr>
            <w:t>3.1 目标用户</w:t>
          </w:r>
          <w:r>
            <w:tab/>
          </w:r>
          <w:r>
            <w:fldChar w:fldCharType="begin"/>
          </w:r>
          <w:r>
            <w:instrText xml:space="preserve"> PAGEREF _Toc21053 \h </w:instrText>
          </w:r>
          <w:r>
            <w:fldChar w:fldCharType="separate"/>
          </w:r>
          <w:r>
            <w:t>8</w:t>
          </w:r>
          <w:r>
            <w:fldChar w:fldCharType="end"/>
          </w:r>
          <w:r>
            <w:rPr>
              <w:rFonts w:hint="default" w:ascii="Times New Roman" w:hAnsi="Times New Roman" w:eastAsia="宋体" w:cs="Times New Roman"/>
            </w:rPr>
            <w:fldChar w:fldCharType="end"/>
          </w:r>
        </w:p>
        <w:p w14:paraId="00814CCA">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_Toc8875 </w:instrText>
          </w:r>
          <w:r>
            <w:rPr>
              <w:rFonts w:hint="default" w:ascii="Times New Roman" w:hAnsi="Times New Roman" w:eastAsia="宋体" w:cs="Times New Roman"/>
            </w:rPr>
            <w:fldChar w:fldCharType="separate"/>
          </w:r>
          <w:r>
            <w:rPr>
              <w:rFonts w:hint="default" w:ascii="Times New Roman" w:hAnsi="Times New Roman" w:cs="Times New Roman"/>
            </w:rPr>
            <w:t>3.2 核心使用场景</w:t>
          </w:r>
          <w:r>
            <w:tab/>
          </w:r>
          <w:r>
            <w:fldChar w:fldCharType="begin"/>
          </w:r>
          <w:r>
            <w:instrText xml:space="preserve"> PAGEREF _Toc8875 \h </w:instrText>
          </w:r>
          <w:r>
            <w:fldChar w:fldCharType="separate"/>
          </w:r>
          <w:r>
            <w:t>8</w:t>
          </w:r>
          <w:r>
            <w:fldChar w:fldCharType="end"/>
          </w:r>
          <w:r>
            <w:rPr>
              <w:rFonts w:hint="default" w:ascii="Times New Roman" w:hAnsi="Times New Roman" w:eastAsia="宋体" w:cs="Times New Roman"/>
            </w:rPr>
            <w:fldChar w:fldCharType="end"/>
          </w:r>
        </w:p>
        <w:p w14:paraId="519D6EF9">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_Toc23269 </w:instrText>
          </w:r>
          <w:r>
            <w:rPr>
              <w:rFonts w:hint="default" w:ascii="Times New Roman" w:hAnsi="Times New Roman" w:eastAsia="宋体" w:cs="Times New Roman"/>
            </w:rPr>
            <w:fldChar w:fldCharType="separate"/>
          </w:r>
          <w:r>
            <w:rPr>
              <w:rFonts w:hint="default" w:ascii="Times New Roman" w:hAnsi="Times New Roman" w:cs="Times New Roman"/>
              <w:lang w:val="en-US" w:eastAsia="zh-CN"/>
            </w:rPr>
            <w:t>4. 核心业务需求</w:t>
          </w:r>
          <w:r>
            <w:tab/>
          </w:r>
          <w:r>
            <w:fldChar w:fldCharType="begin"/>
          </w:r>
          <w:r>
            <w:instrText xml:space="preserve"> PAGEREF _Toc23269 \h </w:instrText>
          </w:r>
          <w:r>
            <w:fldChar w:fldCharType="separate"/>
          </w:r>
          <w:r>
            <w:t>11</w:t>
          </w:r>
          <w:r>
            <w:fldChar w:fldCharType="end"/>
          </w:r>
          <w:r>
            <w:rPr>
              <w:rFonts w:hint="default" w:ascii="Times New Roman" w:hAnsi="Times New Roman" w:eastAsia="宋体" w:cs="Times New Roman"/>
            </w:rPr>
            <w:fldChar w:fldCharType="end"/>
          </w:r>
        </w:p>
        <w:p w14:paraId="159AA606">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_Toc24536 </w:instrText>
          </w:r>
          <w:r>
            <w:rPr>
              <w:rFonts w:hint="default" w:ascii="Times New Roman" w:hAnsi="Times New Roman" w:eastAsia="宋体" w:cs="Times New Roman"/>
            </w:rPr>
            <w:fldChar w:fldCharType="separate"/>
          </w:r>
          <w:r>
            <w:rPr>
              <w:rFonts w:hint="default" w:ascii="Times New Roman" w:hAnsi="Times New Roman" w:cs="Times New Roman"/>
            </w:rPr>
            <w:t>4.1 业务主链路</w:t>
          </w:r>
          <w:r>
            <w:tab/>
          </w:r>
          <w:r>
            <w:fldChar w:fldCharType="begin"/>
          </w:r>
          <w:r>
            <w:instrText xml:space="preserve"> PAGEREF _Toc24536 \h </w:instrText>
          </w:r>
          <w:r>
            <w:fldChar w:fldCharType="separate"/>
          </w:r>
          <w:r>
            <w:t>11</w:t>
          </w:r>
          <w:r>
            <w:fldChar w:fldCharType="end"/>
          </w:r>
          <w:r>
            <w:rPr>
              <w:rFonts w:hint="default" w:ascii="Times New Roman" w:hAnsi="Times New Roman" w:eastAsia="宋体" w:cs="Times New Roman"/>
            </w:rPr>
            <w:fldChar w:fldCharType="end"/>
          </w:r>
        </w:p>
        <w:p w14:paraId="663EDF0F">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_Toc2443 </w:instrText>
          </w:r>
          <w:r>
            <w:rPr>
              <w:rFonts w:hint="default" w:ascii="Times New Roman" w:hAnsi="Times New Roman" w:eastAsia="宋体" w:cs="Times New Roman"/>
            </w:rPr>
            <w:fldChar w:fldCharType="separate"/>
          </w:r>
          <w:r>
            <w:rPr>
              <w:rFonts w:hint="default" w:ascii="Times New Roman" w:hAnsi="Times New Roman" w:cs="Times New Roman"/>
            </w:rPr>
            <w:t>4.2 企业/项目画像管理</w:t>
          </w:r>
          <w:r>
            <w:tab/>
          </w:r>
          <w:r>
            <w:fldChar w:fldCharType="begin"/>
          </w:r>
          <w:r>
            <w:instrText xml:space="preserve"> PAGEREF _Toc2443 \h </w:instrText>
          </w:r>
          <w:r>
            <w:fldChar w:fldCharType="separate"/>
          </w:r>
          <w:r>
            <w:t>11</w:t>
          </w:r>
          <w:r>
            <w:fldChar w:fldCharType="end"/>
          </w:r>
          <w:r>
            <w:rPr>
              <w:rFonts w:hint="default" w:ascii="Times New Roman" w:hAnsi="Times New Roman" w:eastAsia="宋体" w:cs="Times New Roman"/>
            </w:rPr>
            <w:fldChar w:fldCharType="end"/>
          </w:r>
        </w:p>
        <w:p w14:paraId="65CD8EF0">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_Toc24190 </w:instrText>
          </w:r>
          <w:r>
            <w:rPr>
              <w:rFonts w:hint="default" w:ascii="Times New Roman" w:hAnsi="Times New Roman" w:eastAsia="宋体" w:cs="Times New Roman"/>
            </w:rPr>
            <w:fldChar w:fldCharType="separate"/>
          </w:r>
          <w:r>
            <w:rPr>
              <w:rFonts w:hint="default" w:ascii="Times New Roman" w:hAnsi="Times New Roman" w:cs="Times New Roman"/>
            </w:rPr>
            <w:t>4.3 合规路径诊断</w:t>
          </w:r>
          <w:r>
            <w:tab/>
          </w:r>
          <w:r>
            <w:fldChar w:fldCharType="begin"/>
          </w:r>
          <w:r>
            <w:instrText xml:space="preserve"> PAGEREF _Toc24190 \h </w:instrText>
          </w:r>
          <w:r>
            <w:fldChar w:fldCharType="separate"/>
          </w:r>
          <w:r>
            <w:t>12</w:t>
          </w:r>
          <w:r>
            <w:fldChar w:fldCharType="end"/>
          </w:r>
          <w:r>
            <w:rPr>
              <w:rFonts w:hint="default" w:ascii="Times New Roman" w:hAnsi="Times New Roman" w:eastAsia="宋体" w:cs="Times New Roman"/>
            </w:rPr>
            <w:fldChar w:fldCharType="end"/>
          </w:r>
        </w:p>
        <w:p w14:paraId="0E5D89A0">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_Toc13930 </w:instrText>
          </w:r>
          <w:r>
            <w:rPr>
              <w:rFonts w:hint="default" w:ascii="Times New Roman" w:hAnsi="Times New Roman" w:eastAsia="宋体" w:cs="Times New Roman"/>
            </w:rPr>
            <w:fldChar w:fldCharType="separate"/>
          </w:r>
          <w:r>
            <w:rPr>
              <w:rFonts w:hint="default" w:ascii="Times New Roman" w:hAnsi="Times New Roman" w:cs="Times New Roman"/>
            </w:rPr>
            <w:t>4.4 分法域合规落地</w:t>
          </w:r>
          <w:r>
            <w:tab/>
          </w:r>
          <w:r>
            <w:fldChar w:fldCharType="begin"/>
          </w:r>
          <w:r>
            <w:instrText xml:space="preserve"> PAGEREF _Toc13930 \h </w:instrText>
          </w:r>
          <w:r>
            <w:fldChar w:fldCharType="separate"/>
          </w:r>
          <w:r>
            <w:t>13</w:t>
          </w:r>
          <w:r>
            <w:fldChar w:fldCharType="end"/>
          </w:r>
          <w:r>
            <w:rPr>
              <w:rFonts w:hint="default" w:ascii="Times New Roman" w:hAnsi="Times New Roman" w:eastAsia="宋体" w:cs="Times New Roman"/>
            </w:rPr>
            <w:fldChar w:fldCharType="end"/>
          </w:r>
        </w:p>
        <w:p w14:paraId="38D19504">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_Toc905 </w:instrText>
          </w:r>
          <w:r>
            <w:rPr>
              <w:rFonts w:hint="default" w:ascii="Times New Roman" w:hAnsi="Times New Roman" w:eastAsia="宋体" w:cs="Times New Roman"/>
            </w:rPr>
            <w:fldChar w:fldCharType="separate"/>
          </w:r>
          <w:r>
            <w:rPr>
              <w:rFonts w:hint="default" w:ascii="Times New Roman" w:hAnsi="Times New Roman" w:cs="Times New Roman"/>
            </w:rPr>
            <w:t>4.5 文档专项智能审查</w:t>
          </w:r>
          <w:r>
            <w:tab/>
          </w:r>
          <w:r>
            <w:fldChar w:fldCharType="begin"/>
          </w:r>
          <w:r>
            <w:instrText xml:space="preserve"> PAGEREF _Toc905 \h </w:instrText>
          </w:r>
          <w:r>
            <w:fldChar w:fldCharType="separate"/>
          </w:r>
          <w:r>
            <w:t>18</w:t>
          </w:r>
          <w:r>
            <w:fldChar w:fldCharType="end"/>
          </w:r>
          <w:r>
            <w:rPr>
              <w:rFonts w:hint="default" w:ascii="Times New Roman" w:hAnsi="Times New Roman" w:eastAsia="宋体" w:cs="Times New Roman"/>
            </w:rPr>
            <w:fldChar w:fldCharType="end"/>
          </w:r>
        </w:p>
        <w:p w14:paraId="1D06C23B">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_Toc20981 </w:instrText>
          </w:r>
          <w:r>
            <w:rPr>
              <w:rFonts w:hint="default" w:ascii="Times New Roman" w:hAnsi="Times New Roman" w:eastAsia="宋体" w:cs="Times New Roman"/>
            </w:rPr>
            <w:fldChar w:fldCharType="separate"/>
          </w:r>
          <w:r>
            <w:rPr>
              <w:rFonts w:hint="default" w:ascii="Times New Roman" w:hAnsi="Times New Roman" w:cs="Times New Roman"/>
            </w:rPr>
            <w:t>4.6 法律规则库管理</w:t>
          </w:r>
          <w:r>
            <w:tab/>
          </w:r>
          <w:r>
            <w:fldChar w:fldCharType="begin"/>
          </w:r>
          <w:r>
            <w:instrText xml:space="preserve"> PAGEREF _Toc20981 \h </w:instrText>
          </w:r>
          <w:r>
            <w:fldChar w:fldCharType="separate"/>
          </w:r>
          <w:r>
            <w:t>18</w:t>
          </w:r>
          <w:r>
            <w:fldChar w:fldCharType="end"/>
          </w:r>
          <w:r>
            <w:rPr>
              <w:rFonts w:hint="default" w:ascii="Times New Roman" w:hAnsi="Times New Roman" w:eastAsia="宋体" w:cs="Times New Roman"/>
            </w:rPr>
            <w:fldChar w:fldCharType="end"/>
          </w:r>
        </w:p>
        <w:p w14:paraId="69A5083E">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_Toc26632 </w:instrText>
          </w:r>
          <w:r>
            <w:rPr>
              <w:rFonts w:hint="default" w:ascii="Times New Roman" w:hAnsi="Times New Roman" w:eastAsia="宋体" w:cs="Times New Roman"/>
            </w:rPr>
            <w:fldChar w:fldCharType="separate"/>
          </w:r>
          <w:r>
            <w:rPr>
              <w:rFonts w:hint="default" w:ascii="Times New Roman" w:hAnsi="Times New Roman" w:cs="Times New Roman"/>
              <w:lang w:val="en-US" w:eastAsia="zh-CN"/>
            </w:rPr>
            <w:t>5. 合规与输出边界（法学核心）</w:t>
          </w:r>
          <w:r>
            <w:tab/>
          </w:r>
          <w:r>
            <w:fldChar w:fldCharType="begin"/>
          </w:r>
          <w:r>
            <w:instrText xml:space="preserve"> PAGEREF _Toc26632 \h </w:instrText>
          </w:r>
          <w:r>
            <w:fldChar w:fldCharType="separate"/>
          </w:r>
          <w:r>
            <w:t>20</w:t>
          </w:r>
          <w:r>
            <w:fldChar w:fldCharType="end"/>
          </w:r>
          <w:r>
            <w:rPr>
              <w:rFonts w:hint="default" w:ascii="Times New Roman" w:hAnsi="Times New Roman" w:eastAsia="宋体" w:cs="Times New Roman"/>
            </w:rPr>
            <w:fldChar w:fldCharType="end"/>
          </w:r>
        </w:p>
        <w:p w14:paraId="177FADC9">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_Toc31167 </w:instrText>
          </w:r>
          <w:r>
            <w:rPr>
              <w:rFonts w:hint="default" w:ascii="Times New Roman" w:hAnsi="Times New Roman" w:eastAsia="宋体" w:cs="Times New Roman"/>
            </w:rPr>
            <w:fldChar w:fldCharType="separate"/>
          </w:r>
          <w:r>
            <w:rPr>
              <w:rFonts w:hint="default" w:ascii="Times New Roman" w:hAnsi="Times New Roman" w:cs="Times New Roman"/>
            </w:rPr>
            <w:t>5.1 输出合规要求</w:t>
          </w:r>
          <w:r>
            <w:tab/>
          </w:r>
          <w:r>
            <w:fldChar w:fldCharType="begin"/>
          </w:r>
          <w:r>
            <w:instrText xml:space="preserve"> PAGEREF _Toc31167 \h </w:instrText>
          </w:r>
          <w:r>
            <w:fldChar w:fldCharType="separate"/>
          </w:r>
          <w:r>
            <w:t>20</w:t>
          </w:r>
          <w:r>
            <w:fldChar w:fldCharType="end"/>
          </w:r>
          <w:r>
            <w:rPr>
              <w:rFonts w:hint="default" w:ascii="Times New Roman" w:hAnsi="Times New Roman" w:eastAsia="宋体" w:cs="Times New Roman"/>
            </w:rPr>
            <w:fldChar w:fldCharType="end"/>
          </w:r>
        </w:p>
        <w:p w14:paraId="2F6819CE">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_Toc247 </w:instrText>
          </w:r>
          <w:r>
            <w:rPr>
              <w:rFonts w:hint="default" w:ascii="Times New Roman" w:hAnsi="Times New Roman" w:eastAsia="宋体" w:cs="Times New Roman"/>
            </w:rPr>
            <w:fldChar w:fldCharType="separate"/>
          </w:r>
          <w:r>
            <w:rPr>
              <w:rFonts w:hint="default"/>
            </w:rPr>
            <w:t>5.2 人工复核触发条件</w:t>
          </w:r>
          <w:r>
            <w:tab/>
          </w:r>
          <w:r>
            <w:fldChar w:fldCharType="begin"/>
          </w:r>
          <w:r>
            <w:instrText xml:space="preserve"> PAGEREF _Toc247 \h </w:instrText>
          </w:r>
          <w:r>
            <w:fldChar w:fldCharType="separate"/>
          </w:r>
          <w:r>
            <w:t>22</w:t>
          </w:r>
          <w:r>
            <w:fldChar w:fldCharType="end"/>
          </w:r>
          <w:r>
            <w:rPr>
              <w:rFonts w:hint="default" w:ascii="Times New Roman" w:hAnsi="Times New Roman" w:eastAsia="宋体" w:cs="Times New Roman"/>
            </w:rPr>
            <w:fldChar w:fldCharType="end"/>
          </w:r>
        </w:p>
        <w:p w14:paraId="627DF478">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_Toc19876 </w:instrText>
          </w:r>
          <w:r>
            <w:rPr>
              <w:rFonts w:hint="default" w:ascii="Times New Roman" w:hAnsi="Times New Roman" w:eastAsia="宋体" w:cs="Times New Roman"/>
            </w:rPr>
            <w:fldChar w:fldCharType="separate"/>
          </w:r>
          <w:r>
            <w:rPr>
              <w:rFonts w:hint="default"/>
            </w:rPr>
            <w:t>5.3 合规审计要求</w:t>
          </w:r>
          <w:r>
            <w:tab/>
          </w:r>
          <w:r>
            <w:fldChar w:fldCharType="begin"/>
          </w:r>
          <w:r>
            <w:instrText xml:space="preserve"> PAGEREF _Toc19876 \h </w:instrText>
          </w:r>
          <w:r>
            <w:fldChar w:fldCharType="separate"/>
          </w:r>
          <w:r>
            <w:t>23</w:t>
          </w:r>
          <w:r>
            <w:fldChar w:fldCharType="end"/>
          </w:r>
          <w:r>
            <w:rPr>
              <w:rFonts w:hint="default" w:ascii="Times New Roman" w:hAnsi="Times New Roman" w:eastAsia="宋体" w:cs="Times New Roman"/>
            </w:rPr>
            <w:fldChar w:fldCharType="end"/>
          </w:r>
        </w:p>
        <w:p w14:paraId="28121704">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_Toc14933 </w:instrText>
          </w:r>
          <w:r>
            <w:rPr>
              <w:rFonts w:hint="default" w:ascii="Times New Roman" w:hAnsi="Times New Roman" w:eastAsia="宋体" w:cs="Times New Roman"/>
            </w:rPr>
            <w:fldChar w:fldCharType="separate"/>
          </w:r>
          <w:r>
            <w:rPr>
              <w:rFonts w:hint="default" w:ascii="Times New Roman" w:hAnsi="Times New Roman" w:cs="Times New Roman"/>
              <w:lang w:val="en-US" w:eastAsia="zh-CN"/>
            </w:rPr>
            <w:t>6. 非功能需求（技术类·弱化，仅保留法学相关要求）</w:t>
          </w:r>
          <w:r>
            <w:tab/>
          </w:r>
          <w:r>
            <w:fldChar w:fldCharType="begin"/>
          </w:r>
          <w:r>
            <w:instrText xml:space="preserve"> PAGEREF _Toc14933 \h </w:instrText>
          </w:r>
          <w:r>
            <w:fldChar w:fldCharType="separate"/>
          </w:r>
          <w:r>
            <w:t>25</w:t>
          </w:r>
          <w:r>
            <w:fldChar w:fldCharType="end"/>
          </w:r>
          <w:r>
            <w:rPr>
              <w:rFonts w:hint="default" w:ascii="Times New Roman" w:hAnsi="Times New Roman" w:eastAsia="宋体" w:cs="Times New Roman"/>
            </w:rPr>
            <w:fldChar w:fldCharType="end"/>
          </w:r>
        </w:p>
        <w:p w14:paraId="02BAF2C9">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_Toc20234 </w:instrText>
          </w:r>
          <w:r>
            <w:rPr>
              <w:rFonts w:hint="default" w:ascii="Times New Roman" w:hAnsi="Times New Roman" w:eastAsia="宋体" w:cs="Times New Roman"/>
            </w:rPr>
            <w:fldChar w:fldCharType="separate"/>
          </w:r>
          <w:r>
            <w:rPr>
              <w:rFonts w:hint="default"/>
            </w:rPr>
            <w:t>6.1 性能要求</w:t>
          </w:r>
          <w:r>
            <w:tab/>
          </w:r>
          <w:r>
            <w:fldChar w:fldCharType="begin"/>
          </w:r>
          <w:r>
            <w:instrText xml:space="preserve"> PAGEREF _Toc20234 \h </w:instrText>
          </w:r>
          <w:r>
            <w:fldChar w:fldCharType="separate"/>
          </w:r>
          <w:r>
            <w:t>25</w:t>
          </w:r>
          <w:r>
            <w:fldChar w:fldCharType="end"/>
          </w:r>
          <w:r>
            <w:rPr>
              <w:rFonts w:hint="default" w:ascii="Times New Roman" w:hAnsi="Times New Roman" w:eastAsia="宋体" w:cs="Times New Roman"/>
            </w:rPr>
            <w:fldChar w:fldCharType="end"/>
          </w:r>
        </w:p>
        <w:p w14:paraId="76D3F05A">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_Toc18371 </w:instrText>
          </w:r>
          <w:r>
            <w:rPr>
              <w:rFonts w:hint="default" w:ascii="Times New Roman" w:hAnsi="Times New Roman" w:eastAsia="宋体" w:cs="Times New Roman"/>
            </w:rPr>
            <w:fldChar w:fldCharType="separate"/>
          </w:r>
          <w:r>
            <w:rPr>
              <w:rFonts w:hint="default"/>
            </w:rPr>
            <w:t>6.2 数据安全要求</w:t>
          </w:r>
          <w:r>
            <w:tab/>
          </w:r>
          <w:r>
            <w:fldChar w:fldCharType="begin"/>
          </w:r>
          <w:r>
            <w:instrText xml:space="preserve"> PAGEREF _Toc18371 \h </w:instrText>
          </w:r>
          <w:r>
            <w:fldChar w:fldCharType="separate"/>
          </w:r>
          <w:r>
            <w:t>25</w:t>
          </w:r>
          <w:r>
            <w:fldChar w:fldCharType="end"/>
          </w:r>
          <w:r>
            <w:rPr>
              <w:rFonts w:hint="default" w:ascii="Times New Roman" w:hAnsi="Times New Roman" w:eastAsia="宋体" w:cs="Times New Roman"/>
            </w:rPr>
            <w:fldChar w:fldCharType="end"/>
          </w:r>
        </w:p>
        <w:p w14:paraId="728B1E68">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_Toc9087 </w:instrText>
          </w:r>
          <w:r>
            <w:rPr>
              <w:rFonts w:hint="default" w:ascii="Times New Roman" w:hAnsi="Times New Roman" w:eastAsia="宋体" w:cs="Times New Roman"/>
            </w:rPr>
            <w:fldChar w:fldCharType="separate"/>
          </w:r>
          <w:r>
            <w:rPr>
              <w:rFonts w:hint="default"/>
            </w:rPr>
            <w:t>6.3 权限管理要求</w:t>
          </w:r>
          <w:r>
            <w:tab/>
          </w:r>
          <w:r>
            <w:fldChar w:fldCharType="begin"/>
          </w:r>
          <w:r>
            <w:instrText xml:space="preserve"> PAGEREF _Toc9087 \h </w:instrText>
          </w:r>
          <w:r>
            <w:fldChar w:fldCharType="separate"/>
          </w:r>
          <w:r>
            <w:t>26</w:t>
          </w:r>
          <w:r>
            <w:fldChar w:fldCharType="end"/>
          </w:r>
          <w:r>
            <w:rPr>
              <w:rFonts w:hint="default" w:ascii="Times New Roman" w:hAnsi="Times New Roman" w:eastAsia="宋体" w:cs="Times New Roman"/>
            </w:rPr>
            <w:fldChar w:fldCharType="end"/>
          </w:r>
        </w:p>
        <w:p w14:paraId="7660DE52">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_Toc16195 </w:instrText>
          </w:r>
          <w:r>
            <w:rPr>
              <w:rFonts w:hint="default" w:ascii="Times New Roman" w:hAnsi="Times New Roman" w:eastAsia="宋体" w:cs="Times New Roman"/>
            </w:rPr>
            <w:fldChar w:fldCharType="separate"/>
          </w:r>
          <w:r>
            <w:rPr>
              <w:rFonts w:hint="default"/>
            </w:rPr>
            <w:t>6.4 交互要求</w:t>
          </w:r>
          <w:r>
            <w:tab/>
          </w:r>
          <w:r>
            <w:fldChar w:fldCharType="begin"/>
          </w:r>
          <w:r>
            <w:instrText xml:space="preserve"> PAGEREF _Toc16195 \h </w:instrText>
          </w:r>
          <w:r>
            <w:fldChar w:fldCharType="separate"/>
          </w:r>
          <w:r>
            <w:t>27</w:t>
          </w:r>
          <w:r>
            <w:fldChar w:fldCharType="end"/>
          </w:r>
          <w:r>
            <w:rPr>
              <w:rFonts w:hint="default" w:ascii="Times New Roman" w:hAnsi="Times New Roman" w:eastAsia="宋体" w:cs="Times New Roman"/>
            </w:rPr>
            <w:fldChar w:fldCharType="end"/>
          </w:r>
        </w:p>
        <w:p w14:paraId="42E4F2E0">
          <w:pPr>
            <w:pStyle w:val="10"/>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_Toc7426 </w:instrText>
          </w:r>
          <w:r>
            <w:rPr>
              <w:rFonts w:hint="default" w:ascii="Times New Roman" w:hAnsi="Times New Roman" w:eastAsia="宋体" w:cs="Times New Roman"/>
            </w:rPr>
            <w:fldChar w:fldCharType="separate"/>
          </w:r>
          <w:r>
            <w:rPr>
              <w:rFonts w:hint="default" w:ascii="Times New Roman" w:hAnsi="Times New Roman" w:cs="Times New Roman"/>
              <w:lang w:val="en-US" w:eastAsia="zh-CN"/>
            </w:rPr>
            <w:t>7. 验收标准（不含测试案例）</w:t>
          </w:r>
          <w:r>
            <w:tab/>
          </w:r>
          <w:r>
            <w:fldChar w:fldCharType="begin"/>
          </w:r>
          <w:r>
            <w:instrText xml:space="preserve"> PAGEREF _Toc7426 \h </w:instrText>
          </w:r>
          <w:r>
            <w:fldChar w:fldCharType="separate"/>
          </w:r>
          <w:r>
            <w:t>29</w:t>
          </w:r>
          <w:r>
            <w:fldChar w:fldCharType="end"/>
          </w:r>
          <w:r>
            <w:rPr>
              <w:rFonts w:hint="default" w:ascii="Times New Roman" w:hAnsi="Times New Roman" w:eastAsia="宋体" w:cs="Times New Roman"/>
            </w:rPr>
            <w:fldChar w:fldCharType="end"/>
          </w:r>
        </w:p>
        <w:p w14:paraId="25252AF9">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_Toc30418 </w:instrText>
          </w:r>
          <w:r>
            <w:rPr>
              <w:rFonts w:hint="default" w:ascii="Times New Roman" w:hAnsi="Times New Roman" w:eastAsia="宋体" w:cs="Times New Roman"/>
            </w:rPr>
            <w:fldChar w:fldCharType="separate"/>
          </w:r>
          <w:r>
            <w:rPr>
              <w:rFonts w:hint="default"/>
            </w:rPr>
            <w:t>7.1 功能验收</w:t>
          </w:r>
          <w:r>
            <w:tab/>
          </w:r>
          <w:r>
            <w:fldChar w:fldCharType="begin"/>
          </w:r>
          <w:r>
            <w:instrText xml:space="preserve"> PAGEREF _Toc30418 \h </w:instrText>
          </w:r>
          <w:r>
            <w:fldChar w:fldCharType="separate"/>
          </w:r>
          <w:r>
            <w:t>29</w:t>
          </w:r>
          <w:r>
            <w:fldChar w:fldCharType="end"/>
          </w:r>
          <w:r>
            <w:rPr>
              <w:rFonts w:hint="default" w:ascii="Times New Roman" w:hAnsi="Times New Roman" w:eastAsia="宋体" w:cs="Times New Roman"/>
            </w:rPr>
            <w:fldChar w:fldCharType="end"/>
          </w:r>
        </w:p>
        <w:p w14:paraId="4E82CD6D">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_Toc15787 </w:instrText>
          </w:r>
          <w:r>
            <w:rPr>
              <w:rFonts w:hint="default" w:ascii="Times New Roman" w:hAnsi="Times New Roman" w:eastAsia="宋体" w:cs="Times New Roman"/>
            </w:rPr>
            <w:fldChar w:fldCharType="separate"/>
          </w:r>
          <w:r>
            <w:rPr>
              <w:rFonts w:hint="default"/>
            </w:rPr>
            <w:t>7.2 合规验收</w:t>
          </w:r>
          <w:r>
            <w:tab/>
          </w:r>
          <w:r>
            <w:fldChar w:fldCharType="begin"/>
          </w:r>
          <w:r>
            <w:instrText xml:space="preserve"> PAGEREF _Toc15787 \h </w:instrText>
          </w:r>
          <w:r>
            <w:fldChar w:fldCharType="separate"/>
          </w:r>
          <w:r>
            <w:t>30</w:t>
          </w:r>
          <w:r>
            <w:fldChar w:fldCharType="end"/>
          </w:r>
          <w:r>
            <w:rPr>
              <w:rFonts w:hint="default" w:ascii="Times New Roman" w:hAnsi="Times New Roman" w:eastAsia="宋体" w:cs="Times New Roman"/>
            </w:rPr>
            <w:fldChar w:fldCharType="end"/>
          </w:r>
        </w:p>
        <w:p w14:paraId="756A2780">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_Toc9201 </w:instrText>
          </w:r>
          <w:r>
            <w:rPr>
              <w:rFonts w:hint="default" w:ascii="Times New Roman" w:hAnsi="Times New Roman" w:eastAsia="宋体" w:cs="Times New Roman"/>
            </w:rPr>
            <w:fldChar w:fldCharType="separate"/>
          </w:r>
          <w:r>
            <w:rPr>
              <w:rFonts w:hint="default"/>
            </w:rPr>
            <w:t>7.3 文档验收</w:t>
          </w:r>
          <w:r>
            <w:tab/>
          </w:r>
          <w:r>
            <w:fldChar w:fldCharType="begin"/>
          </w:r>
          <w:r>
            <w:instrText xml:space="preserve"> PAGEREF _Toc9201 \h </w:instrText>
          </w:r>
          <w:r>
            <w:fldChar w:fldCharType="separate"/>
          </w:r>
          <w:r>
            <w:t>31</w:t>
          </w:r>
          <w:r>
            <w:fldChar w:fldCharType="end"/>
          </w:r>
          <w:r>
            <w:rPr>
              <w:rFonts w:hint="default" w:ascii="Times New Roman" w:hAnsi="Times New Roman" w:eastAsia="宋体" w:cs="Times New Roman"/>
            </w:rPr>
            <w:fldChar w:fldCharType="end"/>
          </w:r>
        </w:p>
        <w:p w14:paraId="0F51F636">
          <w:pPr>
            <w:keepNext w:val="0"/>
            <w:keepLines w:val="0"/>
            <w:widowControl/>
            <w:suppressLineNumbers w:val="0"/>
            <w:spacing w:before="0" w:beforeLines="0" w:after="0" w:afterLines="0" w:line="240" w:lineRule="auto"/>
            <w:ind w:left="0" w:leftChars="0" w:right="0" w:rightChars="0" w:firstLine="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rPr>
            <w:fldChar w:fldCharType="end"/>
          </w:r>
        </w:p>
      </w:sdtContent>
    </w:sdt>
    <w:p w14:paraId="67F04E67">
      <w:pPr>
        <w:keepNext w:val="0"/>
        <w:keepLines w:val="0"/>
        <w:widowControl/>
        <w:suppressLineNumbers w:val="0"/>
        <w:spacing w:line="360" w:lineRule="auto"/>
        <w:rPr>
          <w:rFonts w:hint="default" w:ascii="Times New Roman" w:hAnsi="Times New Roman" w:eastAsia="宋体" w:cs="Times New Roman"/>
          <w:kern w:val="2"/>
          <w:sz w:val="24"/>
          <w:szCs w:val="24"/>
          <w:lang w:val="en-US" w:eastAsia="zh-CN" w:bidi="ar-SA"/>
        </w:rPr>
      </w:pPr>
    </w:p>
    <w:p w14:paraId="31FB19C1">
      <w:pPr>
        <w:pStyle w:val="2"/>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7EB55421">
      <w:pPr>
        <w:pStyle w:val="2"/>
        <w:bidi w:val="0"/>
        <w:rPr>
          <w:rFonts w:hint="eastAsia"/>
          <w:lang w:val="en-US" w:eastAsia="zh-CN"/>
        </w:rPr>
      </w:pPr>
      <w:bookmarkStart w:id="2" w:name="_Toc7401"/>
      <w:r>
        <w:rPr>
          <w:rFonts w:hint="eastAsia"/>
          <w:lang w:val="en-US" w:eastAsia="zh-CN"/>
        </w:rPr>
        <w:t>1. 文档概述</w:t>
      </w:r>
      <w:bookmarkEnd w:id="2"/>
      <w:r>
        <w:rPr>
          <w:rFonts w:hint="eastAsia"/>
          <w:lang w:val="en-US" w:eastAsia="zh-CN"/>
        </w:rPr>
        <w:t xml:space="preserve"> </w:t>
      </w:r>
    </w:p>
    <w:p w14:paraId="4540320A">
      <w:pPr>
        <w:pStyle w:val="3"/>
        <w:bidi w:val="0"/>
        <w:rPr>
          <w:rFonts w:hint="default"/>
        </w:rPr>
      </w:pPr>
      <w:bookmarkStart w:id="3" w:name="_Toc20370"/>
      <w:r>
        <w:rPr>
          <w:rFonts w:hint="default"/>
        </w:rPr>
        <w:t>1.1 文档定位</w:t>
      </w:r>
      <w:bookmarkEnd w:id="3"/>
      <w:r>
        <w:rPr>
          <w:rFonts w:hint="default"/>
        </w:rPr>
        <w:t xml:space="preserve"> </w:t>
      </w:r>
    </w:p>
    <w:p w14:paraId="200880D6">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本文件为“数规通·数据</w:t>
      </w:r>
      <w:r>
        <w:rPr>
          <w:rFonts w:hint="eastAsia" w:cs="Times New Roman"/>
          <w:lang w:val="en-US" w:eastAsia="zh-CN"/>
        </w:rPr>
        <w:t>跨境智能</w:t>
      </w:r>
      <w:r>
        <w:rPr>
          <w:rFonts w:hint="default" w:ascii="Times New Roman" w:hAnsi="Times New Roman" w:eastAsia="宋体" w:cs="Times New Roman"/>
        </w:rPr>
        <w:t>合规</w:t>
      </w:r>
      <w:r>
        <w:rPr>
          <w:rFonts w:hint="eastAsia" w:cs="Times New Roman"/>
          <w:lang w:val="en-US" w:eastAsia="zh-CN"/>
        </w:rPr>
        <w:t>平台</w:t>
      </w:r>
      <w:r>
        <w:rPr>
          <w:rFonts w:hint="default" w:ascii="Times New Roman" w:hAnsi="Times New Roman" w:eastAsia="宋体" w:cs="Times New Roman"/>
        </w:rPr>
        <w:t>”（以下简称“数规通”）的产品需求说明书（PRD），是该系统在法学向需求层面的专属执行依据。本文件面向产品设计、技术研发、合规</w:t>
      </w:r>
      <w:r>
        <w:rPr>
          <w:rFonts w:hint="eastAsia" w:cs="Times New Roman"/>
          <w:lang w:val="en-US" w:eastAsia="zh-CN"/>
        </w:rPr>
        <w:t>专业人员</w:t>
      </w:r>
      <w:r>
        <w:rPr>
          <w:rFonts w:hint="default" w:ascii="Times New Roman" w:hAnsi="Times New Roman" w:eastAsia="宋体" w:cs="Times New Roman"/>
        </w:rPr>
        <w:t>、系统运维等全部参与角色，作为各方在需求理解、功能界定、合规判定与交付验收过程中的</w:t>
      </w:r>
      <w:r>
        <w:rPr>
          <w:rFonts w:hint="default" w:ascii="Times New Roman" w:hAnsi="Times New Roman" w:eastAsia="宋体" w:cs="Times New Roman"/>
          <w:b/>
          <w:bCs/>
        </w:rPr>
        <w:t>统一准则</w:t>
      </w:r>
      <w:r>
        <w:rPr>
          <w:rFonts w:hint="default" w:ascii="Times New Roman" w:hAnsi="Times New Roman" w:eastAsia="宋体" w:cs="Times New Roman"/>
        </w:rPr>
        <w:t>。</w:t>
      </w:r>
    </w:p>
    <w:p w14:paraId="0370BF54">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本文件确立的核心原则为“合规优先、法学专业兜底、AI效率赋能”。所有功能设计均以现行有效法律法规为基准，法学判断规则优先于技术实现便利性，AI能力仅作为辅助工具服务于法学需求，不得超越法律合规边界。技术实现方案应以本文件所列法学需求为输入，不得擅自缩减或偏离合规判定逻辑。</w:t>
      </w:r>
    </w:p>
    <w:p w14:paraId="37202CF4">
      <w:pPr>
        <w:pStyle w:val="3"/>
        <w:bidi w:val="0"/>
        <w:rPr>
          <w:rFonts w:hint="default"/>
        </w:rPr>
      </w:pPr>
      <w:bookmarkStart w:id="4" w:name="_Toc29945"/>
      <w:r>
        <w:rPr>
          <w:rFonts w:hint="default"/>
        </w:rPr>
        <w:t>1.2 文档管理规范</w:t>
      </w:r>
      <w:bookmarkEnd w:id="4"/>
      <w:r>
        <w:rPr>
          <w:rFonts w:hint="default"/>
        </w:rPr>
        <w:t xml:space="preserve"> </w:t>
      </w:r>
    </w:p>
    <w:p w14:paraId="1ADB4C1C">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本文件的管理参照GB/T 9385-2008《计算机软件需求规格说明》的相关要求，并结合法律AI产品的特殊性</w:t>
      </w:r>
      <w:r>
        <w:rPr>
          <w:rFonts w:hint="default" w:ascii="Times New Roman" w:hAnsi="Times New Roman" w:cs="Times New Roman"/>
          <w:lang w:eastAsia="zh-CN"/>
        </w:rPr>
        <w:t>，</w:t>
      </w:r>
      <w:r>
        <w:rPr>
          <w:rFonts w:hint="default" w:ascii="Times New Roman" w:hAnsi="Times New Roman" w:eastAsia="宋体" w:cs="Times New Roman"/>
        </w:rPr>
        <w:t>采用“V+数字”的版本号格式。重大功能上线或所依据的法律法规发生实质性修订时，升级主版本号；细节优化、非实质性修订或合规表述调整时，升级次版本号。每次修订均需在修订记录表中完整记载版本号、修订日期、修订人、修订内容简述、涉及功能模块及审批状态。</w:t>
      </w:r>
    </w:p>
    <w:p w14:paraId="0DBFE2D0">
      <w:pPr>
        <w:rPr>
          <w:rFonts w:hint="default" w:ascii="Times New Roman" w:hAnsi="Times New Roman" w:eastAsia="宋体" w:cs="Times New Roman"/>
        </w:rPr>
      </w:pPr>
      <w:r>
        <w:rPr>
          <w:rFonts w:hint="default" w:ascii="Times New Roman" w:hAnsi="Times New Roman" w:eastAsia="宋体" w:cs="Times New Roman"/>
        </w:rPr>
        <w:br w:type="page"/>
      </w:r>
    </w:p>
    <w:p w14:paraId="00978EBC">
      <w:pPr>
        <w:pStyle w:val="2"/>
        <w:bidi w:val="0"/>
        <w:rPr>
          <w:rFonts w:hint="eastAsia"/>
          <w:lang w:val="en-US" w:eastAsia="zh-CN"/>
        </w:rPr>
      </w:pPr>
      <w:bookmarkStart w:id="5" w:name="_Toc6286"/>
      <w:r>
        <w:rPr>
          <w:rFonts w:hint="eastAsia"/>
          <w:lang w:val="en-US" w:eastAsia="zh-CN"/>
        </w:rPr>
        <w:t>2. 产品概述</w:t>
      </w:r>
      <w:bookmarkEnd w:id="5"/>
      <w:r>
        <w:rPr>
          <w:rFonts w:hint="eastAsia"/>
          <w:lang w:val="en-US" w:eastAsia="zh-CN"/>
        </w:rPr>
        <w:t xml:space="preserve"> </w:t>
      </w:r>
    </w:p>
    <w:p w14:paraId="28F0EF21">
      <w:pPr>
        <w:pStyle w:val="3"/>
        <w:bidi w:val="0"/>
        <w:rPr>
          <w:rFonts w:hint="default"/>
        </w:rPr>
      </w:pPr>
      <w:bookmarkStart w:id="6" w:name="_Toc20132"/>
      <w:r>
        <w:rPr>
          <w:rFonts w:hint="default"/>
        </w:rPr>
        <w:t>2.1 立项背景</w:t>
      </w:r>
      <w:bookmarkEnd w:id="6"/>
      <w:r>
        <w:rPr>
          <w:rFonts w:hint="default"/>
        </w:rPr>
        <w:t xml:space="preserve"> </w:t>
      </w:r>
    </w:p>
    <w:p w14:paraId="6CB6C7E8">
      <w:pPr>
        <w:pStyle w:val="4"/>
        <w:bidi w:val="0"/>
        <w:rPr>
          <w:rFonts w:hint="default"/>
        </w:rPr>
      </w:pPr>
      <w:r>
        <w:rPr>
          <w:rFonts w:hint="default"/>
        </w:rPr>
        <w:t>2.1.1 时代与监管背景</w:t>
      </w:r>
    </w:p>
    <w:p w14:paraId="6E562467">
      <w:pPr>
        <w:pStyle w:val="14"/>
        <w:keepNext w:val="0"/>
        <w:keepLines w:val="0"/>
        <w:widowControl/>
        <w:suppressLineNumbers w:val="0"/>
        <w:spacing w:line="360" w:lineRule="auto"/>
        <w:ind w:firstLine="480" w:firstLineChars="200"/>
      </w:pPr>
      <w:r>
        <w:rPr>
          <w:rFonts w:hint="default" w:ascii="Times New Roman" w:hAnsi="Times New Roman" w:eastAsia="宋体" w:cs="Times New Roman"/>
        </w:rPr>
        <w:t>数字经济时代，数据跨境流动已成为全球数字经济的血脉。据TeleGeography《2025 Global Internet Geography》报告统计，截至2025年9月，全球跨境数据流动规模已达每秒1835太比特；</w:t>
      </w:r>
      <w:r>
        <w:rPr>
          <w:rStyle w:val="21"/>
          <w:rFonts w:hint="default" w:ascii="Times New Roman" w:hAnsi="Times New Roman" w:eastAsia="宋体" w:cs="Times New Roman"/>
        </w:rPr>
        <w:footnoteReference w:id="0"/>
      </w:r>
      <w:r>
        <w:rPr>
          <w:rFonts w:hint="default" w:ascii="Times New Roman" w:hAnsi="Times New Roman" w:eastAsia="宋体" w:cs="Times New Roman"/>
        </w:rPr>
        <w:t>国家工业信息安全发展研究中心《2025年中国数据跨境流动发展报告》显示，2025年全国数据跨境流通总量为142.34艾字节（EB），同比2024年增长37%。与流动规模同步攀升的是合规风险：国内已构建起以《数据安全法》《个人信息保护法》《数据出境安全评估办法》《促进和规范数据跨境流动规定》为核心的“安全评估+标准合同+认证”三路径监管体系，欧盟GDPR项下形成了“充分性认定+SCC/BCR+TIA”的跨境传输机制，美国则通过EO14117行政令对中国等受关注国家实施批量敏感个人数据出境限制，全球已进入数据跨境强监管时代，规则复杂且动态演变。典型案例如2025年迪奥（上海）公司因个人信息违规出境被上海静安公安网安部门处罚</w:t>
      </w:r>
      <w:r>
        <w:rPr>
          <w:rStyle w:val="21"/>
          <w:rFonts w:hint="default" w:ascii="Times New Roman" w:hAnsi="Times New Roman" w:eastAsia="宋体" w:cs="Times New Roman"/>
        </w:rPr>
        <w:footnoteReference w:id="1"/>
      </w:r>
      <w:r>
        <w:rPr>
          <w:rFonts w:hint="default" w:ascii="Times New Roman" w:hAnsi="Times New Roman" w:eastAsia="宋体" w:cs="Times New Roman"/>
        </w:rPr>
        <w:t>、爱尔兰数据保护委员会（DPC）2025年5月对TikTok开出5.3亿欧元罚单</w:t>
      </w:r>
      <w:r>
        <w:rPr>
          <w:rStyle w:val="21"/>
          <w:rFonts w:hint="default" w:ascii="Times New Roman" w:hAnsi="Times New Roman" w:eastAsia="宋体" w:cs="Times New Roman"/>
        </w:rPr>
        <w:footnoteReference w:id="2"/>
      </w:r>
      <w:r>
        <w:rPr>
          <w:rFonts w:hint="default" w:ascii="Times New Roman" w:hAnsi="Times New Roman" w:eastAsia="宋体" w:cs="Times New Roman"/>
        </w:rPr>
        <w:t>，均涉及数据出境环节的合规瑕疵。</w:t>
      </w:r>
    </w:p>
    <w:p w14:paraId="3D89FC69">
      <w:pPr>
        <w:pStyle w:val="14"/>
        <w:keepNext w:val="0"/>
        <w:keepLines w:val="0"/>
        <w:widowControl/>
        <w:suppressLineNumbers w:val="0"/>
        <w:spacing w:line="360" w:lineRule="auto"/>
        <w:jc w:val="center"/>
      </w:pPr>
      <w:r>
        <w:drawing>
          <wp:inline distT="0" distB="0" distL="114300" distR="114300">
            <wp:extent cx="3948430" cy="92011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rcRect t="19578" b="20262"/>
                    <a:stretch>
                      <a:fillRect/>
                    </a:stretch>
                  </pic:blipFill>
                  <pic:spPr>
                    <a:xfrm>
                      <a:off x="0" y="0"/>
                      <a:ext cx="3948430" cy="920115"/>
                    </a:xfrm>
                    <a:prstGeom prst="rect">
                      <a:avLst/>
                    </a:prstGeom>
                    <a:noFill/>
                    <a:ln>
                      <a:noFill/>
                    </a:ln>
                  </pic:spPr>
                </pic:pic>
              </a:graphicData>
            </a:graphic>
          </wp:inline>
        </w:drawing>
      </w:r>
    </w:p>
    <w:p w14:paraId="13EA7FF4">
      <w:pPr>
        <w:pStyle w:val="7"/>
        <w:keepNext/>
        <w:keepLines/>
        <w:pageBreakBefore w:val="0"/>
        <w:kinsoku/>
        <w:wordWrap/>
        <w:overflowPunct/>
        <w:topLinePunct w:val="0"/>
        <w:autoSpaceDE/>
        <w:autoSpaceDN/>
        <w:bidi w:val="0"/>
        <w:adjustRightInd/>
        <w:snapToGrid/>
        <w:spacing w:line="360" w:lineRule="auto"/>
        <w:ind w:left="0" w:leftChars="0" w:firstLine="0"/>
        <w:jc w:val="center"/>
        <w:textAlignment w:val="auto"/>
        <w:rPr>
          <w:rFonts w:hint="default" w:cs="Times New Roman"/>
        </w:rPr>
      </w:pPr>
      <w:r>
        <w:rPr>
          <w:rFonts w:hint="default" w:cs="Times New Roman"/>
        </w:rPr>
        <w:t>图</w:t>
      </w:r>
      <w:r>
        <w:rPr>
          <w:rFonts w:hint="eastAsia" w:cs="Times New Roman"/>
          <w:lang w:val="en-US" w:eastAsia="zh-CN"/>
        </w:rPr>
        <w:t>1.</w:t>
      </w:r>
      <w:r>
        <w:rPr>
          <w:rFonts w:hint="default" w:cs="Times New Roman"/>
        </w:rPr>
        <w:t>爱尔兰数据保护委员会官网显示其对TikTok罚款5.3亿欧元</w:t>
      </w:r>
    </w:p>
    <w:p w14:paraId="2827F34D">
      <w:pPr>
        <w:pStyle w:val="4"/>
        <w:bidi w:val="0"/>
        <w:rPr>
          <w:rFonts w:hint="default"/>
        </w:rPr>
      </w:pPr>
      <w:r>
        <w:rPr>
          <w:rFonts w:hint="default"/>
        </w:rPr>
        <w:t>2.1.2 合规实务痛点</w:t>
      </w:r>
    </w:p>
    <w:p w14:paraId="5F72F1F3">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数据出境合规的强规则属性，导致其实务工作量级远高于一般合规事项。2026年笔者在北京某</w:t>
      </w:r>
      <w:r>
        <w:rPr>
          <w:rFonts w:hint="default" w:ascii="Times New Roman" w:hAnsi="Times New Roman" w:cs="Times New Roman"/>
          <w:lang w:val="en-US" w:eastAsia="zh-CN"/>
        </w:rPr>
        <w:t>竞品</w:t>
      </w:r>
      <w:r>
        <w:rPr>
          <w:rFonts w:hint="default" w:ascii="Times New Roman" w:hAnsi="Times New Roman" w:eastAsia="宋体" w:cs="Times New Roman"/>
        </w:rPr>
        <w:t>所实习期间，曾参与</w:t>
      </w:r>
      <w:r>
        <w:rPr>
          <w:rFonts w:hint="default" w:ascii="Times New Roman" w:hAnsi="Times New Roman" w:cs="Times New Roman"/>
          <w:lang w:val="en-US" w:eastAsia="zh-CN"/>
        </w:rPr>
        <w:t>境外金融机构的数据出境合规咨询</w:t>
      </w:r>
      <w:r>
        <w:rPr>
          <w:rFonts w:hint="default" w:ascii="Times New Roman" w:hAnsi="Times New Roman" w:eastAsia="宋体" w:cs="Times New Roman"/>
        </w:rPr>
        <w:t>，仅</w:t>
      </w:r>
      <w:r>
        <w:rPr>
          <w:rFonts w:hint="default" w:ascii="Times New Roman" w:hAnsi="Times New Roman" w:cs="Times New Roman"/>
          <w:lang w:val="en-US" w:eastAsia="zh-CN"/>
        </w:rPr>
        <w:t>相关法律意见</w:t>
      </w:r>
      <w:r>
        <w:rPr>
          <w:rFonts w:hint="default" w:ascii="Times New Roman" w:hAnsi="Times New Roman" w:eastAsia="宋体" w:cs="Times New Roman"/>
        </w:rPr>
        <w:t>的草稿撰写、法规核对就耗时</w:t>
      </w:r>
      <w:r>
        <w:rPr>
          <w:rFonts w:hint="default" w:ascii="Times New Roman" w:hAnsi="Times New Roman" w:cs="Times New Roman"/>
          <w:lang w:val="en-US" w:eastAsia="zh-CN"/>
        </w:rPr>
        <w:t>5</w:t>
      </w:r>
      <w:r>
        <w:rPr>
          <w:rFonts w:hint="default" w:ascii="Times New Roman" w:hAnsi="Times New Roman" w:eastAsia="宋体" w:cs="Times New Roman"/>
        </w:rPr>
        <w:t>个工作日。结合实务经验，当前合规律师、企业法务做出境项目普遍面临三大痛点：</w:t>
      </w:r>
      <w:r>
        <w:rPr>
          <w:rFonts w:hint="default" w:ascii="Times New Roman" w:hAnsi="Times New Roman" w:cs="Times New Roman"/>
          <w:lang w:val="en-US" w:eastAsia="zh-CN"/>
        </w:rPr>
        <w:t>一是</w:t>
      </w:r>
      <w:r>
        <w:rPr>
          <w:rFonts w:hint="default" w:ascii="Times New Roman" w:hAnsi="Times New Roman" w:eastAsia="宋体" w:cs="Times New Roman"/>
        </w:rPr>
        <w:t>路径判断难——需先判定企业是否为关键信息基础设施运营者（CIIO）、数据是否涉及重要数据/敏感个人信息、传输规模是否触发法定门槛，任一判断错误都会导致后续全部工作归零，迪奥案即倒在“未充分履行敏感个人信息出境的单独同意义务”的第一步；</w:t>
      </w:r>
      <w:r>
        <w:rPr>
          <w:rFonts w:hint="default" w:ascii="Times New Roman" w:hAnsi="Times New Roman" w:cs="Times New Roman"/>
          <w:lang w:val="en-US" w:eastAsia="zh-CN"/>
        </w:rPr>
        <w:t>二是</w:t>
      </w:r>
      <w:r>
        <w:rPr>
          <w:rFonts w:hint="default" w:ascii="Times New Roman" w:hAnsi="Times New Roman" w:eastAsia="宋体" w:cs="Times New Roman"/>
        </w:rPr>
        <w:t>审批周期长、补正成本高——即便路径判断正确，安全评估的法定审查周期为57个工作日</w:t>
      </w:r>
      <w:r>
        <w:rPr>
          <w:rFonts w:hint="eastAsia" w:cs="Times New Roman"/>
          <w:lang w:eastAsia="zh-CN"/>
        </w:rPr>
        <w:t>，</w:t>
      </w:r>
      <w:r>
        <w:rPr>
          <w:rFonts w:hint="default" w:ascii="Times New Roman" w:hAnsi="Times New Roman" w:eastAsia="宋体" w:cs="Times New Roman"/>
        </w:rPr>
        <w:t>金融、智能网联汽车等高度依赖数据出境的行业，业务节奏常被合规周期拖慢；</w:t>
      </w:r>
      <w:r>
        <w:rPr>
          <w:rFonts w:hint="default" w:ascii="Times New Roman" w:hAnsi="Times New Roman" w:cs="Times New Roman"/>
          <w:lang w:val="en-US" w:eastAsia="zh-CN"/>
        </w:rPr>
        <w:t>三是</w:t>
      </w:r>
      <w:r>
        <w:rPr>
          <w:rFonts w:hint="default" w:ascii="Times New Roman" w:hAnsi="Times New Roman" w:eastAsia="宋体" w:cs="Times New Roman"/>
        </w:rPr>
        <w:t>材料制备重、专业门槛高——无论走哪条路径，均需制备《数据出境风险自评估报告》《个人信息保护影响评估报告》（PIA）等专业文件，需融合法律解读、业务流程、技术措施、风险评</w:t>
      </w:r>
      <w:r>
        <w:rPr>
          <w:rFonts w:hint="eastAsia" w:cs="Times New Roman"/>
          <w:lang w:eastAsia="zh-CN"/>
        </w:rPr>
        <w:t>估等</w:t>
      </w:r>
      <w:r>
        <w:rPr>
          <w:rFonts w:hint="default" w:ascii="Times New Roman" w:hAnsi="Times New Roman" w:eastAsia="宋体" w:cs="Times New Roman"/>
        </w:rPr>
        <w:t>多维度内容，</w:t>
      </w:r>
      <w:r>
        <w:rPr>
          <w:rFonts w:hint="eastAsia" w:cs="Times New Roman"/>
          <w:lang w:val="en-US" w:eastAsia="zh-CN"/>
        </w:rPr>
        <w:t>专业人员尚且</w:t>
      </w:r>
      <w:r>
        <w:rPr>
          <w:rFonts w:hint="default" w:ascii="Times New Roman" w:hAnsi="Times New Roman" w:eastAsia="宋体" w:cs="Times New Roman"/>
        </w:rPr>
        <w:t>非专业人员难以独立完成。</w:t>
      </w:r>
    </w:p>
    <w:p w14:paraId="69B23A1C">
      <w:pPr>
        <w:pStyle w:val="4"/>
        <w:bidi w:val="0"/>
        <w:rPr>
          <w:rFonts w:hint="default"/>
        </w:rPr>
      </w:pPr>
      <w:r>
        <w:rPr>
          <w:rFonts w:hint="default"/>
        </w:rPr>
        <w:t>2.1.3 现有工具缺口</w:t>
      </w:r>
    </w:p>
    <w:p w14:paraId="6B63E1B3">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当前市场上的相关工具可分为三类，均无法完全覆盖数据出境合规的全链路需求。第一类是通用大模型（如ChatGPT、Claude），虽能解答泛化法律问题，但无数据出境领域的任务约束与依据追溯机制，常出现“把《促进和规范数据跨境流动规定》第7条的100万人门槛写成50万”“混淆安全评估与标准合同的适用场景”等低级错误，无法用于正式合规工作。第二类是通用法律AI（如秘塔AI、法天使、得理），在一般法律问答、合同审查场景表现专业，但对数据出境这类“多法域规则叠加、判定节点刚性、依据要求可追溯”的高度专业场景，难以提供符合监管口径的细化判断，比如多数通用法律AI无法区分“欧盟充分性认定国家清单”的最新更新（2024年新增韩国、英国），也无法判定美国EO14117项下“被覆盖的人”的穿透认定标准。第三类是垂类数据合规产品，国外的OneTrust虽覆盖GDPR项下的传输影响评估（TIA）和标准合同（SCC）模块，但对国内“安全评估+标准合同+认证”的三路径体系覆盖不全；国内的百度“史宾格”、闪捷数据出境合规工具等，或仅侧重APP个人信息收集检测、未覆盖数据出境全模块，或仅能做到路径判定、无文书生成与文件审查的闭环，且多法域支持仅到欧盟，无法应对美国EO14117等新规的挑战。综上，市场亟需一款垂直面向数据出境场景、规则准、链路全、输出合规的</w:t>
      </w:r>
      <w:r>
        <w:rPr>
          <w:rFonts w:hint="default" w:ascii="Times New Roman" w:hAnsi="Times New Roman" w:cs="Times New Roman"/>
          <w:lang w:val="en-US" w:eastAsia="zh-CN"/>
        </w:rPr>
        <w:t>法律</w:t>
      </w:r>
      <w:r>
        <w:rPr>
          <w:rFonts w:hint="default" w:ascii="Times New Roman" w:hAnsi="Times New Roman" w:eastAsia="宋体" w:cs="Times New Roman"/>
        </w:rPr>
        <w:t>AI工具。</w:t>
      </w:r>
    </w:p>
    <w:p w14:paraId="06A6BCBE">
      <w:pPr>
        <w:pStyle w:val="3"/>
        <w:bidi w:val="0"/>
        <w:rPr>
          <w:rFonts w:hint="default"/>
        </w:rPr>
      </w:pPr>
      <w:bookmarkStart w:id="7" w:name="_Toc30036"/>
      <w:r>
        <w:rPr>
          <w:rFonts w:hint="default"/>
        </w:rPr>
        <w:t>2.2 产品定位</w:t>
      </w:r>
      <w:bookmarkEnd w:id="7"/>
      <w:r>
        <w:rPr>
          <w:rFonts w:hint="default"/>
        </w:rPr>
        <w:t xml:space="preserve"> </w:t>
      </w:r>
    </w:p>
    <w:p w14:paraId="25BC1C79">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产品区别于通用法律咨询AI、通用合同审查AI，定位为数据出境合规垂直领域的法学AI辅助工具，核心定位为“合规人员的第二大脑”，而非替代执业律师的最终决策，核心优势均围绕法学合规要求设计：①规则全——覆盖中国大陆、欧盟（GDPR项下）、美国（CPRA+EO14117）三大核心法域的最新规则，国内规则同步网信办、行业主管部门的重要数据目录更新，境外规则同步EDPB指南、美国司法部EO14117实施细则，更新时效国内≤3个工作日、境外≤5个工作日（因翻译与合规核验需要）；②判定准——所有路径判定均采用“规则树+刚性逻辑”而非大模型自由生成，判定节点严格对齐网信办、欧盟DPC等监管机构的官方口径，比如判定“是否触发安全评估”时，会依次校验“是否为CIIO”“是否涉及重要数据”“一般个人信息是否≥100万”“敏感个人信息是否≥1万”四个刚性节点，避免出现“把敏感个人信息人数去重后计算”之类的错误；③输出合规——所有判定结论、审查意见均绑定对应法条依据（法律名称+条文号+引用要点），高风险内容自动标记需人工复核，严守“不替代律师、不预测审批结果、不生成虚假材料”的边界；④链路全——覆盖从企业业务事实采集、出境场景识别、合规路径判定、申报文书生成到既有出境文件（合同、隐私政策、数据处理协议）审查的全流程需求，适配企业法务、合规律师、监管审核三类核心用户的工作流。</w:t>
      </w:r>
    </w:p>
    <w:p w14:paraId="7024BF77">
      <w:pPr>
        <w:pStyle w:val="3"/>
        <w:bidi w:val="0"/>
        <w:rPr>
          <w:rFonts w:hint="default"/>
        </w:rPr>
      </w:pPr>
      <w:bookmarkStart w:id="8" w:name="_Toc25624"/>
      <w:r>
        <w:rPr>
          <w:rFonts w:hint="default"/>
        </w:rPr>
        <w:t>2.3 核心目标（法学向，分三阶段，可量化验收）</w:t>
      </w:r>
      <w:bookmarkEnd w:id="8"/>
      <w:r>
        <w:rPr>
          <w:rFonts w:hint="default"/>
        </w:rPr>
        <w:t xml:space="preserve"> </w:t>
      </w:r>
    </w:p>
    <w:p w14:paraId="02B4D57C">
      <w:pPr>
        <w:pStyle w:val="14"/>
        <w:keepNext w:val="0"/>
        <w:keepLines w:val="0"/>
        <w:widowControl/>
        <w:suppressLineNumbers w:val="0"/>
        <w:spacing w:line="360" w:lineRule="auto"/>
        <w:ind w:firstLine="480" w:firstLineChars="200"/>
        <w:rPr>
          <w:rFonts w:hint="default" w:ascii="Times New Roman" w:hAnsi="Times New Roman" w:eastAsia="宋体" w:cs="Times New Roman"/>
          <w:lang w:eastAsia="zh-CN"/>
        </w:rPr>
      </w:pPr>
      <w:r>
        <w:rPr>
          <w:rFonts w:hint="default" w:ascii="Times New Roman" w:hAnsi="Times New Roman" w:eastAsia="宋体" w:cs="Times New Roman"/>
        </w:rPr>
        <w:t>本产品的核心目标围绕“法学专业兜底、AI效率赋能”的原则分阶段设定，每阶段目标均可量化、可核验，且与国内数据出境监管的迭代节奏匹配</w:t>
      </w:r>
      <w:r>
        <w:rPr>
          <w:rFonts w:hint="default" w:ascii="Times New Roman" w:hAnsi="Times New Roman" w:cs="Times New Roman"/>
          <w:lang w:eastAsia="zh-CN"/>
        </w:rPr>
        <w:t>。</w:t>
      </w:r>
    </w:p>
    <w:p w14:paraId="2EBDE12A">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短期（2026年12月前）：完成中国大陆法域全场景覆盖，支持出境场景识别、路径判定、核心文书（《数据出境风险自评估报告》《PIA报告》《SCC审查报告》）生成、出境文件条款级审查四类核心功能；规则更新时效≤3个工作日；路径判定准确率（由2名以上具备数据合规执业经验的律师双盲核验）≥95%，其中法条引用错误率为0（即所有判定依据的法条名称、条文号不得有误），路径判定错误率≤5%（错误类型仅限“新规过渡期口径争议”等边界场景，不含刚性规则错误）。</w:t>
      </w:r>
    </w:p>
    <w:p w14:paraId="7E3B177A">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中期（2027年12月前）：完成欧盟GDPR、美国（CPRA+EO14117）法域的覆盖，支持中/欧/美三大法域并行判定，欧盟项下SCC/BCR/TIA判定准确率≥92%，美国EO14117“被覆盖的人”穿透判定准确率≥90%（因该定义涉及持股、居住地等穿透核查，难度高于国内路径判定）；支持对接律所客户管理系统（如LegalMation、国内律所的iCourt系统），实现客户项目信息同步、报告直接导出至客户工作流。</w:t>
      </w:r>
    </w:p>
    <w:p w14:paraId="558AFD35">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长期（2028年12月后）：对接国家网信办数据出境申报系统接口，符合《数据出境申报系统接口规范》（2024版）要求，实现“合规诊断-文书生成-申报提交-补正提醒”的闭环；支持自动关联各行业重要数据目录（如汽车、金融、医疗、智能网联汽车等），用户输入企业所属行业后自动加载对应重要数据判定标准；探索团体标准输出，将产品的路径判定逻辑、文书模板申报要点沉淀为《中国企业数据出境合规审查指南》团体标准，提升行业认可度。（配图建议：此处插入三阶段路线图，横轴为时间2026-2028，纵轴为“法域覆盖”“功能闭环”“行业认可”三个维度，标注各阶段里程碑）</w:t>
      </w:r>
    </w:p>
    <w:p w14:paraId="608B9B57">
      <w:pPr>
        <w:pStyle w:val="3"/>
        <w:bidi w:val="0"/>
        <w:rPr>
          <w:rFonts w:hint="default"/>
        </w:rPr>
      </w:pPr>
      <w:bookmarkStart w:id="9" w:name="_Toc30270"/>
      <w:r>
        <w:rPr>
          <w:rFonts w:hint="default"/>
        </w:rPr>
        <w:t>2.4 产品范围与边界</w:t>
      </w:r>
      <w:bookmarkEnd w:id="9"/>
      <w:r>
        <w:rPr>
          <w:rFonts w:hint="default"/>
        </w:rPr>
        <w:t xml:space="preserve"> </w:t>
      </w:r>
    </w:p>
    <w:p w14:paraId="2DB9D0E6">
      <w:pPr>
        <w:pStyle w:val="4"/>
        <w:bidi w:val="0"/>
        <w:rPr>
          <w:rFonts w:hint="default"/>
        </w:rPr>
      </w:pPr>
      <w:r>
        <w:rPr>
          <w:rFonts w:hint="default"/>
        </w:rPr>
        <w:t xml:space="preserve">2.4.1 包含范围 </w:t>
      </w:r>
    </w:p>
    <w:p w14:paraId="1E6735B0">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本产品的功能范围围绕数据出境合规的全工作流设计，不包含无关功能，具体包含三大类模块：</w:t>
      </w:r>
      <w:r>
        <w:rPr>
          <w:rFonts w:hint="eastAsia" w:cs="Times New Roman"/>
          <w:b/>
          <w:bCs/>
          <w:lang w:val="en-US" w:eastAsia="zh-CN"/>
        </w:rPr>
        <w:t>一是</w:t>
      </w:r>
      <w:r>
        <w:rPr>
          <w:rFonts w:hint="default" w:ascii="Times New Roman" w:hAnsi="Times New Roman" w:eastAsia="宋体" w:cs="Times New Roman"/>
          <w:b/>
          <w:bCs/>
        </w:rPr>
        <w:t>合规功能模块</w:t>
      </w:r>
      <w:r>
        <w:rPr>
          <w:rFonts w:hint="default" w:ascii="Times New Roman" w:hAnsi="Times New Roman" w:eastAsia="宋体" w:cs="Times New Roman"/>
        </w:rPr>
        <w:t>——是企业用户、律师的核心使用模块，包含企业/项目画像管理</w:t>
      </w:r>
      <w:r>
        <w:rPr>
          <w:rStyle w:val="21"/>
          <w:rFonts w:hint="default" w:ascii="Times New Roman" w:hAnsi="Times New Roman" w:eastAsia="宋体" w:cs="Times New Roman"/>
        </w:rPr>
        <w:footnoteReference w:id="3"/>
      </w:r>
      <w:r>
        <w:rPr>
          <w:rFonts w:hint="default" w:ascii="Times New Roman" w:hAnsi="Times New Roman" w:eastAsia="宋体" w:cs="Times New Roman"/>
        </w:rPr>
        <w:t>、出境场景识别</w:t>
      </w:r>
      <w:r>
        <w:rPr>
          <w:rStyle w:val="21"/>
          <w:rFonts w:hint="default" w:ascii="Times New Roman" w:hAnsi="Times New Roman" w:eastAsia="宋体" w:cs="Times New Roman"/>
        </w:rPr>
        <w:footnoteReference w:id="4"/>
      </w:r>
      <w:r>
        <w:rPr>
          <w:rFonts w:hint="default" w:ascii="Times New Roman" w:hAnsi="Times New Roman" w:eastAsia="宋体" w:cs="Times New Roman"/>
        </w:rPr>
        <w:t>、合规路径判定</w:t>
      </w:r>
      <w:r>
        <w:rPr>
          <w:rStyle w:val="21"/>
          <w:rFonts w:hint="default" w:ascii="Times New Roman" w:hAnsi="Times New Roman" w:eastAsia="宋体" w:cs="Times New Roman"/>
        </w:rPr>
        <w:footnoteReference w:id="5"/>
      </w:r>
      <w:r>
        <w:rPr>
          <w:rFonts w:hint="default" w:ascii="Times New Roman" w:hAnsi="Times New Roman" w:eastAsia="宋体" w:cs="Times New Roman"/>
        </w:rPr>
        <w:t>、合规文书智能生成</w:t>
      </w:r>
      <w:r>
        <w:rPr>
          <w:rStyle w:val="21"/>
          <w:rFonts w:hint="default" w:ascii="Times New Roman" w:hAnsi="Times New Roman" w:eastAsia="宋体" w:cs="Times New Roman"/>
        </w:rPr>
        <w:footnoteReference w:id="6"/>
      </w:r>
      <w:r>
        <w:rPr>
          <w:rFonts w:hint="default" w:ascii="Times New Roman" w:hAnsi="Times New Roman" w:eastAsia="宋体" w:cs="Times New Roman"/>
        </w:rPr>
        <w:t>、出境文件智能审查</w:t>
      </w:r>
      <w:r>
        <w:rPr>
          <w:rStyle w:val="21"/>
          <w:rFonts w:hint="default" w:ascii="Times New Roman" w:hAnsi="Times New Roman" w:eastAsia="宋体" w:cs="Times New Roman"/>
        </w:rPr>
        <w:footnoteReference w:id="7"/>
      </w:r>
      <w:r>
        <w:rPr>
          <w:rFonts w:hint="default" w:ascii="Times New Roman" w:hAnsi="Times New Roman" w:eastAsia="宋体" w:cs="Times New Roman"/>
        </w:rPr>
        <w:t>、规则库管理</w:t>
      </w:r>
      <w:r>
        <w:rPr>
          <w:rStyle w:val="21"/>
          <w:rFonts w:hint="default" w:ascii="Times New Roman" w:hAnsi="Times New Roman" w:eastAsia="宋体" w:cs="Times New Roman"/>
        </w:rPr>
        <w:footnoteReference w:id="8"/>
      </w:r>
      <w:r>
        <w:rPr>
          <w:rFonts w:hint="default" w:ascii="Times New Roman" w:hAnsi="Times New Roman" w:eastAsia="宋体" w:cs="Times New Roman"/>
        </w:rPr>
        <w:t>；</w:t>
      </w:r>
      <w:r>
        <w:rPr>
          <w:rFonts w:hint="eastAsia" w:cs="Times New Roman"/>
          <w:b/>
          <w:bCs/>
          <w:lang w:val="en-US" w:eastAsia="zh-CN"/>
        </w:rPr>
        <w:t>二是</w:t>
      </w:r>
      <w:r>
        <w:rPr>
          <w:rFonts w:hint="default" w:ascii="Times New Roman" w:hAnsi="Times New Roman" w:eastAsia="宋体" w:cs="Times New Roman"/>
          <w:b/>
          <w:bCs/>
        </w:rPr>
        <w:t>用户模块</w:t>
      </w:r>
      <w:r>
        <w:rPr>
          <w:rFonts w:hint="default" w:ascii="Times New Roman" w:hAnsi="Times New Roman" w:eastAsia="宋体" w:cs="Times New Roman"/>
        </w:rPr>
        <w:t>——支撑多角色使用，包含账号权限管理</w:t>
      </w:r>
      <w:r>
        <w:rPr>
          <w:rStyle w:val="21"/>
          <w:rFonts w:hint="default" w:ascii="Times New Roman" w:hAnsi="Times New Roman" w:eastAsia="宋体" w:cs="Times New Roman"/>
        </w:rPr>
        <w:footnoteReference w:id="9"/>
      </w:r>
      <w:r>
        <w:rPr>
          <w:rFonts w:hint="default" w:ascii="Times New Roman" w:hAnsi="Times New Roman" w:eastAsia="宋体" w:cs="Times New Roman"/>
        </w:rPr>
        <w:t>、项目历史管理</w:t>
      </w:r>
      <w:r>
        <w:rPr>
          <w:rStyle w:val="21"/>
          <w:rFonts w:hint="default" w:ascii="Times New Roman" w:hAnsi="Times New Roman" w:eastAsia="宋体" w:cs="Times New Roman"/>
        </w:rPr>
        <w:footnoteReference w:id="10"/>
      </w:r>
      <w:r>
        <w:rPr>
          <w:rFonts w:hint="default" w:ascii="Times New Roman" w:hAnsi="Times New Roman" w:eastAsia="宋体" w:cs="Times New Roman"/>
        </w:rPr>
        <w:t>、操作日志留存；</w:t>
      </w:r>
      <w:r>
        <w:rPr>
          <w:rFonts w:hint="eastAsia" w:cs="Times New Roman"/>
          <w:b/>
          <w:bCs/>
          <w:lang w:val="en-US" w:eastAsia="zh-CN"/>
        </w:rPr>
        <w:t>三是</w:t>
      </w:r>
      <w:r>
        <w:rPr>
          <w:rFonts w:hint="default" w:ascii="Times New Roman" w:hAnsi="Times New Roman" w:eastAsia="宋体" w:cs="Times New Roman"/>
          <w:b/>
          <w:bCs/>
        </w:rPr>
        <w:t>合规运维模块</w:t>
      </w:r>
      <w:r>
        <w:rPr>
          <w:rFonts w:hint="default" w:ascii="Times New Roman" w:hAnsi="Times New Roman" w:eastAsia="宋体" w:cs="Times New Roman"/>
        </w:rPr>
        <w:t>——保障合规与安全，包含规则审核</w:t>
      </w:r>
      <w:r>
        <w:rPr>
          <w:rStyle w:val="21"/>
          <w:rFonts w:hint="default" w:ascii="Times New Roman" w:hAnsi="Times New Roman" w:eastAsia="宋体" w:cs="Times New Roman"/>
        </w:rPr>
        <w:footnoteReference w:id="11"/>
      </w:r>
      <w:r>
        <w:rPr>
          <w:rFonts w:hint="default" w:ascii="Times New Roman" w:hAnsi="Times New Roman" w:eastAsia="宋体" w:cs="Times New Roman"/>
        </w:rPr>
        <w:t>、审计留存</w:t>
      </w:r>
      <w:r>
        <w:rPr>
          <w:rStyle w:val="21"/>
          <w:rFonts w:hint="default" w:ascii="Times New Roman" w:hAnsi="Times New Roman" w:eastAsia="宋体" w:cs="Times New Roman"/>
        </w:rPr>
        <w:footnoteReference w:id="12"/>
      </w:r>
      <w:r>
        <w:rPr>
          <w:rFonts w:hint="default" w:ascii="Times New Roman" w:hAnsi="Times New Roman" w:eastAsia="宋体" w:cs="Times New Roman"/>
        </w:rPr>
        <w:t>、免责声明管理</w:t>
      </w:r>
      <w:r>
        <w:rPr>
          <w:rStyle w:val="21"/>
          <w:rFonts w:hint="default" w:ascii="Times New Roman" w:hAnsi="Times New Roman" w:eastAsia="宋体" w:cs="Times New Roman"/>
        </w:rPr>
        <w:footnoteReference w:id="13"/>
      </w:r>
      <w:r>
        <w:rPr>
          <w:rFonts w:hint="default" w:ascii="Times New Roman" w:hAnsi="Times New Roman" w:eastAsia="宋体" w:cs="Times New Roman"/>
        </w:rPr>
        <w:t>。</w:t>
      </w:r>
    </w:p>
    <w:p w14:paraId="4D3852EE">
      <w:pPr>
        <w:pStyle w:val="4"/>
        <w:bidi w:val="0"/>
        <w:rPr>
          <w:rFonts w:hint="default"/>
        </w:rPr>
      </w:pPr>
      <w:r>
        <w:rPr>
          <w:rFonts w:hint="default"/>
        </w:rPr>
        <w:t>2.4.2 排除边界</w:t>
      </w:r>
    </w:p>
    <w:p w14:paraId="0FE866B8">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本产品严格遵守法律监管要求与AI伦理规范，明确划定以下禁区，所有功能设计与输出均不得突破：</w:t>
      </w:r>
    </w:p>
    <w:p w14:paraId="2D2A5E87">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第一，</w:t>
      </w:r>
      <w:r>
        <w:rPr>
          <w:rFonts w:hint="default" w:ascii="Times New Roman" w:hAnsi="Times New Roman" w:eastAsia="宋体" w:cs="Times New Roman"/>
          <w:b/>
          <w:bCs/>
        </w:rPr>
        <w:t>不得输出最终法律意见</w:t>
      </w:r>
      <w:r>
        <w:rPr>
          <w:rFonts w:hint="default" w:ascii="Times New Roman" w:hAnsi="Times New Roman" w:cs="Times New Roman"/>
          <w:b/>
          <w:bCs/>
          <w:lang w:eastAsia="zh-CN"/>
        </w:rPr>
        <w:t>。</w:t>
      </w:r>
      <w:r>
        <w:rPr>
          <w:rFonts w:hint="default" w:ascii="Times New Roman" w:hAnsi="Times New Roman" w:eastAsia="宋体" w:cs="Times New Roman"/>
        </w:rPr>
        <w:t>本产品所有输出均为辅助参考，不具备执业律师出具的法律意见的效力，涉及正式申报、客户交付、诉讼/仲裁用途的结论，需经执业数据合规律师审核签字后方可使用；所有输出页脚需固定显示免责声明：“本输出仅为数据出境合规辅助参考，不构成执业律师出具的法律意见，具体事项请咨询具备数据合规律师执业资质的从业人员”。</w:t>
      </w:r>
    </w:p>
    <w:p w14:paraId="3AE893ED">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第二，</w:t>
      </w:r>
      <w:r>
        <w:rPr>
          <w:rFonts w:hint="default" w:ascii="Times New Roman" w:hAnsi="Times New Roman" w:eastAsia="宋体" w:cs="Times New Roman"/>
          <w:b/>
          <w:bCs/>
        </w:rPr>
        <w:t>不得预测监管审批结果</w:t>
      </w:r>
      <w:r>
        <w:rPr>
          <w:rFonts w:hint="eastAsia" w:cs="Times New Roman"/>
          <w:b/>
          <w:bCs/>
          <w:lang w:eastAsia="zh-CN"/>
        </w:rPr>
        <w:t>。</w:t>
      </w:r>
      <w:r>
        <w:rPr>
          <w:rFonts w:hint="default" w:ascii="Times New Roman" w:hAnsi="Times New Roman" w:eastAsia="宋体" w:cs="Times New Roman"/>
        </w:rPr>
        <w:t>仅能依据现行规则和用户提供的业务事实做合规路径判定和风险提示，不得对“安全评估能否通过”“标准合同备案会不会被打回”等审批结果做任何确定性预测。</w:t>
      </w:r>
    </w:p>
    <w:p w14:paraId="6F472EED">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第三，</w:t>
      </w:r>
      <w:r>
        <w:rPr>
          <w:rFonts w:hint="default" w:ascii="Times New Roman" w:hAnsi="Times New Roman" w:eastAsia="宋体" w:cs="Times New Roman"/>
          <w:b/>
          <w:bCs/>
        </w:rPr>
        <w:t>不得生成虚假/违规申报材料</w:t>
      </w:r>
      <w:r>
        <w:rPr>
          <w:rFonts w:hint="eastAsia" w:cs="Times New Roman"/>
          <w:b/>
          <w:bCs/>
          <w:lang w:eastAsia="zh-CN"/>
        </w:rPr>
        <w:t>。</w:t>
      </w:r>
      <w:r>
        <w:rPr>
          <w:rFonts w:hint="default" w:ascii="Times New Roman" w:hAnsi="Times New Roman" w:eastAsia="宋体" w:cs="Times New Roman"/>
        </w:rPr>
        <w:t>所有生成的文书草稿需严格对齐监管模板要求，不得诱导用户填写虚假业务事实、不得生成规避监管的“技巧性”内容（如建议用户拆分个人信息人数以规避100万门槛，该行为违反《促进和规范数据跨境流动规定》第9条）。</w:t>
      </w:r>
    </w:p>
    <w:p w14:paraId="2D623C69">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第四，</w:t>
      </w:r>
      <w:r>
        <w:rPr>
          <w:rFonts w:hint="default" w:ascii="Times New Roman" w:hAnsi="Times New Roman" w:eastAsia="宋体" w:cs="Times New Roman"/>
          <w:b/>
          <w:bCs/>
        </w:rPr>
        <w:t>不得处理未公开的监管内部规则、未结案件数据</w:t>
      </w:r>
      <w:r>
        <w:rPr>
          <w:rFonts w:hint="eastAsia" w:cs="Times New Roman"/>
          <w:b/>
          <w:bCs/>
          <w:lang w:eastAsia="zh-CN"/>
        </w:rPr>
        <w:t>。</w:t>
      </w:r>
      <w:r>
        <w:rPr>
          <w:rFonts w:hint="default" w:ascii="Times New Roman" w:hAnsi="Times New Roman" w:eastAsia="宋体" w:cs="Times New Roman"/>
        </w:rPr>
        <w:t>规则库仅接入公开发布的有效法律法规、指南、问答，不得接入监管内部会议纪要、未公开的处罚裁量标准，不得使用未结案件的涉密数据做训练或分析。</w:t>
      </w:r>
    </w:p>
    <w:p w14:paraId="60103A76">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第五，</w:t>
      </w:r>
      <w:r>
        <w:rPr>
          <w:rFonts w:hint="default" w:ascii="Times New Roman" w:hAnsi="Times New Roman" w:eastAsia="宋体" w:cs="Times New Roman"/>
          <w:b/>
          <w:bCs/>
        </w:rPr>
        <w:t>不得替代律师执业服务</w:t>
      </w:r>
      <w:r>
        <w:rPr>
          <w:rFonts w:hint="eastAsia" w:cs="Times New Roman"/>
          <w:b/>
          <w:bCs/>
          <w:lang w:eastAsia="zh-CN"/>
        </w:rPr>
        <w:t>。</w:t>
      </w:r>
      <w:r>
        <w:rPr>
          <w:rFonts w:hint="default" w:ascii="Times New Roman" w:hAnsi="Times New Roman" w:eastAsia="宋体" w:cs="Times New Roman"/>
        </w:rPr>
        <w:t>本产品定位为辅助工具，不得提供律师法规定的专属执业服务（如诉讼代理、出庭辩护、公证代办等），不得直接向用户提供“可以出境/不可以出境”的最终结论，仅能提供“基于你提供的事实，当前最可能的合规路径是X，需注意Y风险”的辅助性判断。</w:t>
      </w:r>
    </w:p>
    <w:p w14:paraId="489A93B6">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第六，</w:t>
      </w:r>
      <w:r>
        <w:rPr>
          <w:rFonts w:hint="default" w:ascii="Times New Roman" w:hAnsi="Times New Roman" w:eastAsia="宋体" w:cs="Times New Roman"/>
          <w:b/>
          <w:bCs/>
        </w:rPr>
        <w:t>不得超出用户授权范围存储、使用用户数据</w:t>
      </w:r>
      <w:r>
        <w:rPr>
          <w:rFonts w:hint="eastAsia" w:cs="Times New Roman"/>
          <w:b/>
          <w:bCs/>
          <w:lang w:eastAsia="zh-CN"/>
        </w:rPr>
        <w:t>。</w:t>
      </w:r>
      <w:r>
        <w:rPr>
          <w:rFonts w:hint="default" w:ascii="Times New Roman" w:hAnsi="Times New Roman" w:eastAsia="宋体" w:cs="Times New Roman"/>
        </w:rPr>
        <w:t>用户输入的企业信息、业务数据、出境文件仅用于本次合规诊断/生成/审查任务，任务结束后可按用户要求删除，不得用于其他项目的分析、不得向第三方泄露，符合《个人信息保护法》《数据安全法》的数据处理要求。</w:t>
      </w:r>
    </w:p>
    <w:p w14:paraId="7CCC2093">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cs="Times New Roman"/>
          <w:b/>
          <w:bCs/>
          <w:lang w:val="en-US" w:eastAsia="zh-CN"/>
        </w:rPr>
        <w:t>第七，</w:t>
      </w:r>
      <w:r>
        <w:rPr>
          <w:rFonts w:hint="default" w:ascii="Times New Roman" w:hAnsi="Times New Roman" w:eastAsia="宋体" w:cs="Times New Roman"/>
          <w:b/>
          <w:bCs/>
        </w:rPr>
        <w:t>不得对出境数据的合法性做实质性背书</w:t>
      </w:r>
      <w:r>
        <w:rPr>
          <w:rFonts w:hint="eastAsia" w:cs="Times New Roman"/>
          <w:b/>
          <w:bCs/>
          <w:lang w:eastAsia="zh-CN"/>
        </w:rPr>
        <w:t>。</w:t>
      </w:r>
      <w:r>
        <w:rPr>
          <w:rFonts w:hint="default" w:ascii="Times New Roman" w:hAnsi="Times New Roman" w:eastAsia="宋体" w:cs="Times New Roman"/>
        </w:rPr>
        <w:t>仅能依据用户提供的业务事实做合规判定</w:t>
      </w:r>
      <w:r>
        <w:rPr>
          <w:rFonts w:hint="eastAsia" w:cs="Times New Roman"/>
          <w:lang w:eastAsia="zh-CN"/>
        </w:rPr>
        <w:t>。</w:t>
      </w:r>
      <w:r>
        <w:rPr>
          <w:rFonts w:hint="eastAsia" w:cs="Times New Roman"/>
          <w:lang w:val="en-US" w:eastAsia="zh-CN"/>
        </w:rPr>
        <w:t>比</w:t>
      </w:r>
      <w:r>
        <w:rPr>
          <w:rFonts w:hint="default" w:ascii="Times New Roman" w:hAnsi="Times New Roman" w:eastAsia="宋体" w:cs="Times New Roman"/>
        </w:rPr>
        <w:t>如</w:t>
      </w:r>
      <w:r>
        <w:rPr>
          <w:rFonts w:hint="eastAsia" w:cs="Times New Roman"/>
          <w:lang w:eastAsia="zh-CN"/>
        </w:rPr>
        <w:t>，</w:t>
      </w:r>
      <w:r>
        <w:rPr>
          <w:rFonts w:hint="default" w:ascii="Times New Roman" w:hAnsi="Times New Roman" w:eastAsia="宋体" w:cs="Times New Roman"/>
        </w:rPr>
        <w:t>用户声明“我传输的是已按GB/T 37988-2019标准匿名化的数据”，系统仅能依据匿名化的法定标准做“是否符合匿名化要求”的判定，不得替用户证明“你的数据确实做到了匿名化”，合法性背书需由用户自行承担或委托律师核验。</w:t>
      </w:r>
    </w:p>
    <w:p w14:paraId="05FA9F2B">
      <w:pPr>
        <w:rPr>
          <w:rFonts w:hint="default" w:ascii="Times New Roman" w:hAnsi="Times New Roman" w:eastAsia="宋体" w:cs="Times New Roman"/>
        </w:rPr>
      </w:pPr>
      <w:r>
        <w:rPr>
          <w:rFonts w:hint="default" w:ascii="Times New Roman" w:hAnsi="Times New Roman" w:eastAsia="宋体" w:cs="Times New Roman"/>
        </w:rPr>
        <w:br w:type="page"/>
      </w:r>
    </w:p>
    <w:p w14:paraId="39A4FCFB">
      <w:pPr>
        <w:pStyle w:val="2"/>
        <w:bidi w:val="0"/>
        <w:rPr>
          <w:rFonts w:hint="eastAsia"/>
          <w:lang w:val="en-US" w:eastAsia="zh-CN"/>
        </w:rPr>
      </w:pPr>
      <w:bookmarkStart w:id="10" w:name="_Toc20395"/>
      <w:r>
        <w:rPr>
          <w:rFonts w:hint="eastAsia"/>
          <w:lang w:val="en-US" w:eastAsia="zh-CN"/>
        </w:rPr>
        <w:t>3. 目标用户与核心场景</w:t>
      </w:r>
      <w:bookmarkEnd w:id="10"/>
      <w:r>
        <w:rPr>
          <w:rFonts w:hint="eastAsia"/>
          <w:lang w:val="en-US" w:eastAsia="zh-CN"/>
        </w:rPr>
        <w:t xml:space="preserve"> </w:t>
      </w:r>
    </w:p>
    <w:p w14:paraId="6EA014BA">
      <w:pPr>
        <w:pStyle w:val="3"/>
        <w:bidi w:val="0"/>
        <w:rPr>
          <w:rFonts w:hint="default"/>
        </w:rPr>
      </w:pPr>
      <w:bookmarkStart w:id="11" w:name="_Toc21053"/>
      <w:r>
        <w:rPr>
          <w:rFonts w:hint="default"/>
        </w:rPr>
        <w:t>3.1 目标用户</w:t>
      </w:r>
      <w:bookmarkEnd w:id="11"/>
    </w:p>
    <w:p w14:paraId="2B0017E9">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本产品面向数据出境合规全链条的参与者设计，按需求深度与使用频次可分为核心用户、次要用户与潜在用户三类，每类用户的需求均紧扣数据出境领域的法学实务要求，避免泛化。</w:t>
      </w:r>
    </w:p>
    <w:p w14:paraId="1EE91044">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核心用户包含三类：</w:t>
      </w:r>
      <w:r>
        <w:rPr>
          <w:rFonts w:hint="default" w:ascii="Times New Roman" w:hAnsi="Times New Roman" w:eastAsia="宋体" w:cs="Times New Roman"/>
          <w:b/>
          <w:bCs/>
        </w:rPr>
        <w:t>一是企业DPO（数据保护官）与企业法务，</w:t>
      </w:r>
      <w:r>
        <w:rPr>
          <w:rFonts w:hint="default" w:ascii="Times New Roman" w:hAnsi="Times New Roman" w:eastAsia="宋体" w:cs="Times New Roman"/>
        </w:rPr>
        <w:t>其需求聚焦于出境前的快速自查，需明确自身业务是否构成法定数据出境、是否需履行申报义务、应选择安全评估/标准合同/认证哪条合规路径、需制备哪些申报材料，核心目标是降低合规成本、避免因漏报、错报触发《数据安全法》第46条、《个人信息保护法》第66条的罚则（注：两法项下最高可处五千万元或上一年度营业额百分之五罚款，典型案例包括2025年迪奥上海公司因敏感个人信息出境未履行单独同意义务被上海静安网安处罚、2025年5月TikTok因欧盟用户数据出境违规被爱尔兰数据保护委员会处5.3亿欧元罚款）；</w:t>
      </w:r>
      <w:r>
        <w:rPr>
          <w:rFonts w:hint="default" w:ascii="Times New Roman" w:hAnsi="Times New Roman" w:eastAsia="宋体" w:cs="Times New Roman"/>
          <w:b/>
          <w:bCs/>
        </w:rPr>
        <w:t>二是数据合规律师，</w:t>
      </w:r>
      <w:r>
        <w:rPr>
          <w:rFonts w:hint="default" w:ascii="Times New Roman" w:hAnsi="Times New Roman" w:eastAsia="宋体" w:cs="Times New Roman"/>
        </w:rPr>
        <w:t>其需求聚焦于客户项目的快速承办，需快速筛查客户业务的风险点、生成合规文书草稿、标注法条依据，核心目标是提升办案效率（注：红圈所数据合规组承办一份《数据出境风险自评估报告》通常需5-7个工作日，其中法规核对、监管口径对齐占耗时40%以上）；</w:t>
      </w:r>
      <w:r>
        <w:rPr>
          <w:rFonts w:hint="default" w:ascii="Times New Roman" w:hAnsi="Times New Roman" w:eastAsia="宋体" w:cs="Times New Roman"/>
          <w:b/>
          <w:bCs/>
        </w:rPr>
        <w:t>三是监管审核人员（各级网信办、数据局），</w:t>
      </w:r>
      <w:r>
        <w:rPr>
          <w:rFonts w:hint="default" w:ascii="Times New Roman" w:hAnsi="Times New Roman" w:eastAsia="宋体" w:cs="Times New Roman"/>
        </w:rPr>
        <w:t>其需求聚焦于申报材料的辅助核对，需快速核验企业提交的材料是否缺项、风险条款是否合规、是否存在法域冲突，核心目标是缓解审核端人力压力、统一审核口径。</w:t>
      </w:r>
    </w:p>
    <w:p w14:paraId="6C0AA89F">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次要用户包含</w:t>
      </w:r>
      <w:r>
        <w:rPr>
          <w:rFonts w:hint="default" w:ascii="Times New Roman" w:hAnsi="Times New Roman" w:eastAsia="宋体" w:cs="Times New Roman"/>
          <w:b/>
          <w:bCs/>
        </w:rPr>
        <w:t>企业合规咨询师、跨境业务专员</w:t>
      </w:r>
      <w:r>
        <w:rPr>
          <w:rFonts w:hint="default" w:ascii="Times New Roman" w:hAnsi="Times New Roman" w:eastAsia="宋体" w:cs="Times New Roman"/>
        </w:rPr>
        <w:t>，多为非法律专业背景但需对接合规工作的岗位，需求为快速查询现行规则、做初步合规自查，判断自身业务是否需要进一步引入律师或DPO。潜在用户为中小企业主，多无专职合规岗位，需求为简单判断自身业务是否涉及数据出境、是否需要聘请专业律师，避免因无知触发合规风险。</w:t>
      </w:r>
    </w:p>
    <w:p w14:paraId="2BF7705E">
      <w:pPr>
        <w:pStyle w:val="3"/>
        <w:bidi w:val="0"/>
        <w:rPr>
          <w:rFonts w:hint="default"/>
        </w:rPr>
      </w:pPr>
      <w:bookmarkStart w:id="12" w:name="_Toc8875"/>
      <w:r>
        <w:rPr>
          <w:rFonts w:hint="default"/>
        </w:rPr>
        <w:t>3.2 核心使用场景</w:t>
      </w:r>
      <w:bookmarkEnd w:id="12"/>
      <w:r>
        <w:rPr>
          <w:rFonts w:hint="default"/>
        </w:rPr>
        <w:t xml:space="preserve"> </w:t>
      </w:r>
    </w:p>
    <w:p w14:paraId="1E695153">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场景划分对应前文梳理的三大行业痛点</w:t>
      </w:r>
      <w:r>
        <w:rPr>
          <w:rFonts w:hint="default" w:ascii="Times New Roman" w:hAnsi="Times New Roman" w:cs="Times New Roman"/>
          <w:lang w:eastAsia="zh-CN"/>
        </w:rPr>
        <w:t>：</w:t>
      </w:r>
      <w:r>
        <w:rPr>
          <w:rFonts w:hint="default" w:ascii="Times New Roman" w:hAnsi="Times New Roman" w:eastAsia="宋体" w:cs="Times New Roman"/>
        </w:rPr>
        <w:t>路径判断难、合规不确定性高/材料制备重、操作流程繁/审核效率低，与前文架构图的“诊、审、草、理”功能模块一一对应，逻辑自洽，每个场景均明确触发条件与预期输出，所有输出均绑定现行有效法域规则。</w:t>
      </w:r>
    </w:p>
    <w:p w14:paraId="12BCF913">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eastAsia="宋体" w:cs="Times New Roman"/>
          <w:b/>
          <w:bCs/>
        </w:rPr>
        <w:t>场景一为出境前合规自查</w:t>
      </w:r>
      <w:r>
        <w:rPr>
          <w:rFonts w:hint="default" w:ascii="Times New Roman" w:hAnsi="Times New Roman" w:cs="Times New Roman"/>
          <w:b/>
          <w:bCs/>
          <w:lang w:eastAsia="zh-CN"/>
        </w:rPr>
        <w:t>，</w:t>
      </w:r>
      <w:r>
        <w:rPr>
          <w:rFonts w:hint="default" w:ascii="Times New Roman" w:hAnsi="Times New Roman" w:eastAsia="宋体" w:cs="Times New Roman"/>
        </w:rPr>
        <w:t>对应痛点“路径判断难”、“合规路径诊断”，触发用户为企业DPO/法务、跨境业务专员、中小企业主，触发场景为企业拟开展涉及数据跨境的业务，如智能网联汽车向境外总部传输驾驶数据、跨境电商向新加坡服务器传输用户行为数据、金融机构向境外母公司传输交易数据、HR向境外集团总部传输员工信息等。预期输出为两步：第一步判定是否构成法定数据出境严格对齐《数据出境安全评估办法》第2条的三类场景</w:t>
      </w:r>
      <w:r>
        <w:rPr>
          <w:rFonts w:hint="eastAsia" w:cs="Times New Roman"/>
          <w:lang w:eastAsia="zh-CN"/>
        </w:rPr>
        <w:t>——</w:t>
      </w:r>
      <w:r>
        <w:rPr>
          <w:rFonts w:hint="default" w:ascii="Times New Roman" w:hAnsi="Times New Roman" w:eastAsia="宋体" w:cs="Times New Roman"/>
        </w:rPr>
        <w:t>境内数据传输至境外、境外主体可访问境内数据、其他监管认定的出境场景，如远程访问、过境数据；第二步若构成出境，则输出合规路径建议及对应法条依据（如涉及重要数据则触发安全评估，依据《数据出境安全评估办法》第4条；</w:t>
      </w:r>
      <w:r>
        <w:rPr>
          <w:rFonts w:hint="eastAsia" w:cs="Times New Roman"/>
          <w:lang w:val="en-US" w:eastAsia="zh-CN"/>
        </w:rPr>
        <w:t>比</w:t>
      </w:r>
      <w:r>
        <w:rPr>
          <w:rFonts w:hint="default" w:ascii="Times New Roman" w:hAnsi="Times New Roman" w:eastAsia="宋体" w:cs="Times New Roman"/>
        </w:rPr>
        <w:t>如</w:t>
      </w:r>
      <w:r>
        <w:rPr>
          <w:rFonts w:hint="eastAsia" w:cs="Times New Roman"/>
          <w:lang w:eastAsia="zh-CN"/>
        </w:rPr>
        <w:t>，</w:t>
      </w:r>
      <w:r>
        <w:rPr>
          <w:rFonts w:hint="default" w:ascii="Times New Roman" w:hAnsi="Times New Roman" w:eastAsia="宋体" w:cs="Times New Roman"/>
        </w:rPr>
        <w:t>为跨境人力资源管理必需则适用豁免，依据《促进和规范数据跨境流动规定》第5条；</w:t>
      </w:r>
      <w:r>
        <w:rPr>
          <w:rFonts w:hint="eastAsia" w:cs="Times New Roman"/>
          <w:lang w:val="en-US" w:eastAsia="zh-CN"/>
        </w:rPr>
        <w:t>再如，</w:t>
      </w:r>
      <w:r>
        <w:rPr>
          <w:rFonts w:hint="default" w:ascii="Times New Roman" w:hAnsi="Times New Roman" w:eastAsia="宋体" w:cs="Times New Roman"/>
        </w:rPr>
        <w:t>接收方在美国则需额外叠加EO14117项下“被覆盖的人”判定，依据美国第14117号行政令2024年2月生效版本），同步列出该路径下需制备的材料清单。</w:t>
      </w:r>
    </w:p>
    <w:p w14:paraId="41EA18D6">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eastAsia="宋体" w:cs="Times New Roman"/>
          <w:b/>
          <w:bCs/>
        </w:rPr>
        <w:t>场景二为合规项目承办与文书生成</w:t>
      </w:r>
      <w:r>
        <w:rPr>
          <w:rFonts w:hint="default" w:ascii="Times New Roman" w:hAnsi="Times New Roman" w:cs="Times New Roman"/>
          <w:b/>
          <w:bCs/>
          <w:lang w:eastAsia="zh-CN"/>
        </w:rPr>
        <w:t>，</w:t>
      </w:r>
      <w:r>
        <w:rPr>
          <w:rFonts w:hint="default" w:ascii="Times New Roman" w:hAnsi="Times New Roman" w:eastAsia="宋体" w:cs="Times New Roman"/>
        </w:rPr>
        <w:t>对应痛点“合规不确定性高/材料制备重”，触发用户为数据合规律师、企业法务（需自行制备申报材料场景），触发场景为律师承接企业数据出境合规项目、或企业法务需自行完成申报材料制备。预期输出为四类定制化文书草稿，每类文书均同时输出两份内容：一是生成逻辑说明，列明判定所依据的法域规则、事实匹配过程、风险等级判定依据；二是文书草案，严格对齐监管模板要求，具体包括：</w:t>
      </w:r>
      <w:r>
        <w:rPr>
          <w:rFonts w:hint="eastAsia" w:cs="Times New Roman"/>
          <w:lang w:val="en-US" w:eastAsia="zh-CN"/>
        </w:rPr>
        <w:t>第一，</w:t>
      </w:r>
      <w:r>
        <w:rPr>
          <w:rFonts w:hint="default" w:ascii="Times New Roman" w:hAnsi="Times New Roman" w:eastAsia="宋体" w:cs="Times New Roman"/>
        </w:rPr>
        <w:t>《数据出境风险自评估报告》草稿（符合网信办《数据出境安全评估申报指南》格式，标注重要数据判定、接收方数据保护能力、风险缓释措施等核心模块）；</w:t>
      </w:r>
      <w:r>
        <w:rPr>
          <w:rFonts w:hint="eastAsia" w:cs="Times New Roman"/>
          <w:lang w:val="en-US" w:eastAsia="zh-CN"/>
        </w:rPr>
        <w:t>第二，</w:t>
      </w:r>
      <w:r>
        <w:rPr>
          <w:rFonts w:hint="default" w:ascii="Times New Roman" w:hAnsi="Times New Roman" w:eastAsia="宋体" w:cs="Times New Roman"/>
        </w:rPr>
        <w:t>《个人信息保护影响评估报告（PIA）》草稿（符合GB/T 39335-2020要求，区分高/中/低风险项及整改建议）；</w:t>
      </w:r>
      <w:r>
        <w:rPr>
          <w:rFonts w:hint="eastAsia" w:cs="Times New Roman"/>
          <w:lang w:val="en-US" w:eastAsia="zh-CN"/>
        </w:rPr>
        <w:t>第三，</w:t>
      </w:r>
      <w:r>
        <w:rPr>
          <w:rFonts w:hint="default" w:ascii="Times New Roman" w:hAnsi="Times New Roman" w:eastAsia="宋体" w:cs="Times New Roman"/>
        </w:rPr>
        <w:t>标准合同（SCC）/绑定企业规则（BCR）模板（符合《个人信息出境标准合同办法》2023版要求，必备条款不得修改，可选条款标注选择建议，欧盟场景同步适配欧盟委员会2024版SCC）；</w:t>
      </w:r>
      <w:r>
        <w:rPr>
          <w:rFonts w:hint="eastAsia" w:cs="Times New Roman"/>
          <w:lang w:val="en-US" w:eastAsia="zh-CN"/>
        </w:rPr>
        <w:t>第四，</w:t>
      </w:r>
      <w:r>
        <w:rPr>
          <w:rFonts w:hint="default" w:ascii="Times New Roman" w:hAnsi="Times New Roman" w:eastAsia="宋体" w:cs="Times New Roman"/>
        </w:rPr>
        <w:t>传输影响评估（TIA）草稿（欧盟GDPR项下要求，适用于向未获充分性认定国家传输场景）。若涉及美国EO14117合规要求，额外输出《批量敏感个人数据出境合规评估报告》草稿，标注“被覆盖的人”判定依据、数据量级阈值、豁免情形。</w:t>
      </w:r>
    </w:p>
    <w:p w14:paraId="3371B2A7">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default" w:ascii="Times New Roman" w:hAnsi="Times New Roman" w:eastAsia="宋体" w:cs="Times New Roman"/>
          <w:b/>
          <w:bCs/>
        </w:rPr>
        <w:t>场景三为存量项目调整与申报审核辅助</w:t>
      </w:r>
      <w:r>
        <w:rPr>
          <w:rFonts w:hint="default" w:ascii="Times New Roman" w:hAnsi="Times New Roman" w:cs="Times New Roman"/>
          <w:b/>
          <w:bCs/>
          <w:lang w:eastAsia="zh-CN"/>
        </w:rPr>
        <w:t>，</w:t>
      </w:r>
      <w:r>
        <w:rPr>
          <w:rFonts w:hint="default" w:ascii="Times New Roman" w:hAnsi="Times New Roman" w:eastAsia="宋体" w:cs="Times New Roman"/>
        </w:rPr>
        <w:t>对应痛点“操作流程繁/审核效率低”，触发分两类：一是法规更新后的存量项目调整，触发条件为现行规则发生修订（如2024年3月《促进和规范数据跨境流动规定》新增过境数据、跨境人力资源管理豁免场景；2024年7月欧盟新增韩国、英国为充分性认定国家；2025年EO14117实施细则更新“被覆盖的人”穿透认定标准），系统自动向存量项目推送新规要点，比对存量项目的事实信息，提示是否需要调整合规路径（如原按安全评估路径申报的项目，若符合新规豁免条件则可调整为标准合同备案，缩短周期）；二是监管申报审核或律师文件审查，触发用户为监管审核人员、合规律师，触发场景为监管收取企业申报材料、或律师审查客户出境相关合同/隐私政策/数据处理协议。预期输出为审查标记清单：一是缺项标注（如走安全评估路径未提交《境外接收方数据保护能力证明》）；二是风险条款标注（如合同约定的数据保留期限超出个保法要求、接收方位于制裁清单违反EO14117、欧盟场景未签署SCC即传输）；三是合规冲突提示（如地方规定与中央规则冲突、新规过渡期内的适用口径争议），所有标记均需绑定对应法条依据与监管口径说明。</w:t>
      </w:r>
    </w:p>
    <w:p w14:paraId="14392C43">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157941EE">
      <w:pPr>
        <w:pStyle w:val="2"/>
        <w:bidi w:val="0"/>
        <w:rPr>
          <w:rFonts w:hint="eastAsia"/>
          <w:lang w:val="en-US" w:eastAsia="zh-CN"/>
        </w:rPr>
      </w:pPr>
      <w:bookmarkStart w:id="13" w:name="_Toc23269"/>
      <w:r>
        <w:rPr>
          <w:rFonts w:hint="eastAsia"/>
          <w:lang w:val="en-US" w:eastAsia="zh-CN"/>
        </w:rPr>
        <w:t>4. 核心业务需求</w:t>
      </w:r>
      <w:bookmarkEnd w:id="13"/>
      <w:r>
        <w:rPr>
          <w:rFonts w:hint="eastAsia"/>
          <w:lang w:val="en-US" w:eastAsia="zh-CN"/>
        </w:rPr>
        <w:t xml:space="preserve"> </w:t>
      </w:r>
    </w:p>
    <w:p w14:paraId="6C63881A">
      <w:pPr>
        <w:pStyle w:val="3"/>
        <w:bidi w:val="0"/>
        <w:rPr>
          <w:rFonts w:hint="default"/>
        </w:rPr>
      </w:pPr>
      <w:bookmarkStart w:id="14" w:name="_Toc24536"/>
      <w:r>
        <w:rPr>
          <w:rFonts w:hint="default"/>
        </w:rPr>
        <w:t>4.1 业务主链路</w:t>
      </w:r>
      <w:bookmarkEnd w:id="14"/>
    </w:p>
    <w:p w14:paraId="4AC8285C">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系统的业务主链路以“法学判定闭环”为核心，区别于通用软件的技术流程，整体逻辑为：用户输入必要事实→系统匹配对应用户所选法域的现行有效规则→输出合规结论+对应法条依据→高风险/规则冲突/事实存疑项触发人工复核→生成对应合规文书/审查报告→全链路操作记录留存审计。主链路需按法域拆分适配不同监管要求：中国大陆法域链路对应“合规路径诊断→文书生成→文件审查”模块，欧盟法域链路对应“SCC（标准合同）/BCR（有约束力的公司规则）审查→DPIA（数据保护影响评估）/TIA（传输影响评估）生成”模块，美国法域链路对应“EO14117（第14117号行政令）合规→CPRA（加州隐私权法案）合规”模块，三法域链路共享企业/项目画像管理与规则库底层能力。</w:t>
      </w:r>
    </w:p>
    <w:p w14:paraId="379642C7">
      <w:pPr>
        <w:pStyle w:val="14"/>
        <w:keepNext w:val="0"/>
        <w:keepLines w:val="0"/>
        <w:widowControl/>
        <w:suppressLineNumbers w:val="0"/>
        <w:spacing w:line="360" w:lineRule="auto"/>
        <w:jc w:val="center"/>
      </w:pPr>
      <w:r>
        <w:drawing>
          <wp:inline distT="0" distB="0" distL="114300" distR="114300">
            <wp:extent cx="5269230" cy="1485265"/>
            <wp:effectExtent l="0" t="0" r="127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69230" cy="1485265"/>
                    </a:xfrm>
                    <a:prstGeom prst="rect">
                      <a:avLst/>
                    </a:prstGeom>
                    <a:noFill/>
                    <a:ln>
                      <a:noFill/>
                    </a:ln>
                  </pic:spPr>
                </pic:pic>
              </a:graphicData>
            </a:graphic>
          </wp:inline>
        </w:drawing>
      </w:r>
    </w:p>
    <w:p w14:paraId="7F36D584">
      <w:pPr>
        <w:pStyle w:val="7"/>
        <w:keepNext/>
        <w:keepLines/>
        <w:pageBreakBefore w:val="0"/>
        <w:kinsoku/>
        <w:wordWrap/>
        <w:overflowPunct/>
        <w:topLinePunct w:val="0"/>
        <w:autoSpaceDE/>
        <w:autoSpaceDN/>
        <w:bidi w:val="0"/>
        <w:adjustRightInd/>
        <w:snapToGrid/>
        <w:spacing w:line="360" w:lineRule="auto"/>
        <w:ind w:left="0" w:leftChars="0" w:firstLine="0"/>
        <w:jc w:val="center"/>
        <w:textAlignment w:val="auto"/>
        <w:rPr>
          <w:rFonts w:hint="default" w:cs="Times New Roman"/>
          <w:lang w:val="en-US" w:eastAsia="zh-CN"/>
        </w:rPr>
      </w:pPr>
      <w:r>
        <w:rPr>
          <w:rFonts w:hint="eastAsia" w:cs="Times New Roman"/>
          <w:lang w:val="en-US" w:eastAsia="zh-CN"/>
        </w:rPr>
        <w:t>图2.数规通任务空间界面截图</w:t>
      </w:r>
    </w:p>
    <w:p w14:paraId="009B257F">
      <w:pPr>
        <w:pStyle w:val="3"/>
        <w:bidi w:val="0"/>
        <w:rPr>
          <w:rFonts w:hint="default"/>
        </w:rPr>
      </w:pPr>
      <w:bookmarkStart w:id="15" w:name="_Toc2443"/>
      <w:r>
        <w:rPr>
          <w:rFonts w:hint="default"/>
        </w:rPr>
        <w:t>4.2 企业/项目画像管理</w:t>
      </w:r>
      <w:bookmarkEnd w:id="15"/>
      <w:r>
        <w:rPr>
          <w:rFonts w:hint="default"/>
        </w:rPr>
        <w:t xml:space="preserve"> </w:t>
      </w:r>
    </w:p>
    <w:p w14:paraId="6108D294">
      <w:pPr>
        <w:pStyle w:val="4"/>
        <w:bidi w:val="0"/>
        <w:rPr>
          <w:rFonts w:hint="default"/>
        </w:rPr>
      </w:pPr>
      <w:r>
        <w:rPr>
          <w:rFonts w:hint="default"/>
        </w:rPr>
        <w:t xml:space="preserve">4.2.1 功能需求 </w:t>
      </w:r>
    </w:p>
    <w:p w14:paraId="5AB8985F">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支持企业基础信息录入，包含企业全称、统一社会信用代码、是否关键信息基础设施运营者（CIIO）、所属行业、合规联系人及联系方式；支持项目级信息复用，同一企业名下不同出境项目（如车企“研发数据出境”“用户行为数据出境”两个独立项目）可复用企业画像中的CIIO属性、行业属性、统一社会信用代码等基础信息，无需重复录入，降低用户操作成本。</w:t>
      </w:r>
    </w:p>
    <w:p w14:paraId="2165C713">
      <w:pPr>
        <w:pStyle w:val="4"/>
        <w:bidi w:val="0"/>
        <w:rPr>
          <w:rFonts w:hint="default"/>
        </w:rPr>
      </w:pPr>
      <w:r>
        <w:rPr>
          <w:rFonts w:hint="default"/>
        </w:rPr>
        <w:t xml:space="preserve">4.2.2 法学要求 </w:t>
      </w:r>
    </w:p>
    <w:p w14:paraId="01870B46">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企业CIIO判定需留痕，判定依据需关联《关键信息基础设施安全保护条例》第二条的CIIO认定标准（公共通信、能源、交通、水利、金融、公共服务、电子政务等重要行业和领域，以及其他一旦遭到破坏、丧失功能或者数据泄露，可能严重危害国家安全、国计民生、公共利益的基础设施）；所属行业需自动关联对应行业重要数据目录，避免用户因行业属性判断错误导致合规路径选错——如汽车行业自动关联《汽车数据安全管理若干规定（试行）》第三条的重要数据范围（军事管理区/国防科工相关数据、车辆流量占比超10%的路段数据、涉及10万以上个人的车辆数据等），金融行业自动关联JR/T 0197-2020《金融数据安全 数据生命周期安全规范》的重要数据目录，医疗行业关联《卫生健康行业数据分类分级指南（试行）》的重要数据认定标准。</w:t>
      </w:r>
    </w:p>
    <w:p w14:paraId="385297A3">
      <w:pPr>
        <w:pStyle w:val="3"/>
        <w:bidi w:val="0"/>
        <w:rPr>
          <w:rFonts w:hint="default"/>
        </w:rPr>
      </w:pPr>
      <w:bookmarkStart w:id="16" w:name="_Toc24190"/>
      <w:r>
        <w:rPr>
          <w:rFonts w:hint="default"/>
        </w:rPr>
        <w:t>4.3 合规路径诊断</w:t>
      </w:r>
      <w:bookmarkEnd w:id="16"/>
      <w:r>
        <w:rPr>
          <w:rFonts w:hint="default"/>
        </w:rPr>
        <w:t xml:space="preserve"> </w:t>
      </w:r>
    </w:p>
    <w:p w14:paraId="403FF75C">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通过封闭式问卷引导用户完成事实输入，系统按法定决策树输出路径结论”，避免用户因不熟悉规则导致路径选错。功能层面，用户无需自行解读法规，仅需通过网页表单回答预设封闭式问题，核心事实维度包含：拟出境数据是否包含重要数据、是否包含个人信息、是否属于法定豁免情形、数据处理者是否为CIIO、自当年1月1日起累计拟出境的个人信息类型及规模等；若用户对某项事实不确定（回答“不知道”），系统启动次级信息收集子流程，如用户不确定是否涉及重要数据，系统询问行业领域和数据性质，结合内置行业重要数据特征库匹配分析后引导用户确认。</w:t>
      </w:r>
    </w:p>
    <w:p w14:paraId="79143E85">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决策树逻辑严格贴合监管口径，按优先级分五步：</w:t>
      </w:r>
      <w:r>
        <w:rPr>
          <w:rFonts w:hint="default" w:ascii="Times New Roman" w:hAnsi="Times New Roman" w:eastAsia="宋体" w:cs="Times New Roman"/>
          <w:b/>
          <w:bCs/>
          <w:sz w:val="24"/>
          <w:szCs w:val="24"/>
        </w:rPr>
        <w:t>第一步识别重要数据出境义务</w:t>
      </w:r>
      <w:r>
        <w:rPr>
          <w:rFonts w:hint="default" w:ascii="Times New Roman" w:hAnsi="Times New Roman" w:eastAsia="宋体" w:cs="Times New Roman"/>
          <w:sz w:val="24"/>
          <w:szCs w:val="24"/>
        </w:rPr>
        <w:t>，若回答“是”则直接触发安全评估（《数据出境安全评估办法》第四条第二项），若“不知道”启动行业重要数据辅助匹配；</w:t>
      </w:r>
      <w:r>
        <w:rPr>
          <w:rFonts w:hint="default" w:ascii="Times New Roman" w:hAnsi="Times New Roman" w:eastAsia="宋体" w:cs="Times New Roman"/>
          <w:b/>
          <w:bCs/>
          <w:sz w:val="24"/>
          <w:szCs w:val="24"/>
        </w:rPr>
        <w:t>第二步识别个人信息与基础豁免</w:t>
      </w:r>
      <w:r>
        <w:rPr>
          <w:rFonts w:hint="default" w:ascii="Times New Roman" w:hAnsi="Times New Roman" w:eastAsia="宋体" w:cs="Times New Roman"/>
          <w:sz w:val="24"/>
          <w:szCs w:val="24"/>
        </w:rPr>
        <w:t>，若回答“否”（既不涉重要数据也不涉个人信息）则适用《促进和规范数据跨境流动规定》第三条“过境数据”豁免，若“不知道”启动个人信息辅助判断（提供个保法第四条的个人信息示例清单供用户核对）；</w:t>
      </w:r>
      <w:r>
        <w:rPr>
          <w:rFonts w:hint="default" w:ascii="Times New Roman" w:hAnsi="Times New Roman" w:eastAsia="宋体" w:cs="Times New Roman"/>
          <w:b/>
          <w:bCs/>
          <w:sz w:val="24"/>
          <w:szCs w:val="24"/>
        </w:rPr>
        <w:t>第三步核查法定豁免情形</w:t>
      </w:r>
      <w:r>
        <w:rPr>
          <w:rFonts w:hint="default" w:ascii="Times New Roman" w:hAnsi="Times New Roman" w:eastAsia="宋体" w:cs="Times New Roman"/>
          <w:sz w:val="24"/>
          <w:szCs w:val="24"/>
        </w:rPr>
        <w:t>，用户可选择具体豁免项或“不清楚”，若选择豁免项（跨境购物/就业/就医、订立合同必需、跨境人力资源管理必需等）则直接豁免，若“不清楚”启动豁免子流程逐项核对《促进和规范数据跨境流动规定》第五条、第六条的豁免要件；</w:t>
      </w:r>
      <w:r>
        <w:rPr>
          <w:rFonts w:hint="default" w:ascii="Times New Roman" w:hAnsi="Times New Roman" w:eastAsia="宋体" w:cs="Times New Roman"/>
          <w:b/>
          <w:bCs/>
          <w:sz w:val="24"/>
          <w:szCs w:val="24"/>
        </w:rPr>
        <w:t>第四步确认CIIO身份</w:t>
      </w:r>
      <w:r>
        <w:rPr>
          <w:rFonts w:hint="default" w:ascii="Times New Roman" w:hAnsi="Times New Roman" w:eastAsia="宋体" w:cs="Times New Roman"/>
          <w:sz w:val="24"/>
          <w:szCs w:val="24"/>
        </w:rPr>
        <w:t>，若“是”则触发安全评估（《数据出境安全评估办法》第四条第一项），若“不确定”启动CIIO行业属性核对；</w:t>
      </w:r>
      <w:r>
        <w:rPr>
          <w:rFonts w:hint="default" w:ascii="Times New Roman" w:hAnsi="Times New Roman" w:eastAsia="宋体" w:cs="Times New Roman"/>
          <w:b/>
          <w:bCs/>
          <w:sz w:val="24"/>
          <w:szCs w:val="24"/>
        </w:rPr>
        <w:t>第五步区分与量化个人信息类型</w:t>
      </w:r>
      <w:r>
        <w:rPr>
          <w:rFonts w:hint="default" w:ascii="Times New Roman" w:hAnsi="Times New Roman" w:eastAsia="宋体" w:cs="Times New Roman"/>
          <w:sz w:val="24"/>
          <w:szCs w:val="24"/>
        </w:rPr>
        <w:t>，根据一般个人信息是否≥100万、敏感个人信息是否≥1万的输出对应结论（豁免/标准合同或认证/安全评估），依据为《促进和规范数据跨境流动规定》第七条。</w:t>
      </w:r>
    </w:p>
    <w:p w14:paraId="042F0D07">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系统输出</w:t>
      </w:r>
      <w:r>
        <w:rPr>
          <w:rFonts w:hint="default" w:ascii="Times New Roman" w:hAnsi="Times New Roman" w:eastAsia="宋体" w:cs="Times New Roman"/>
          <w:sz w:val="24"/>
          <w:szCs w:val="24"/>
        </w:rPr>
        <w:t>为《合规路径诊断报告》，包含核心结论、用户答案摘要、判定逻辑树、逐条法规依据、核心风险提示、后续行动建议。示例场景：用户输入为跨境电商半年订单数据传新加坡（一般个人信息45万、不涉及重要数据、非CIIO），系统输出“适用标准合同备案或认证路径”；用户输入为1.5万患者脱敏医疗数据传欧盟，次级子流程匹配卫健行业重要数据目录后提示涉及重要数据，输出“必须申报安全评估”。</w:t>
      </w:r>
    </w:p>
    <w:p w14:paraId="40E1709F">
      <w:pPr>
        <w:pStyle w:val="3"/>
        <w:bidi w:val="0"/>
        <w:rPr>
          <w:rFonts w:hint="default"/>
        </w:rPr>
      </w:pPr>
      <w:bookmarkStart w:id="17" w:name="_Toc13930"/>
      <w:r>
        <w:rPr>
          <w:rFonts w:hint="default"/>
        </w:rPr>
        <w:t>4.4 分法域合规落地</w:t>
      </w:r>
      <w:bookmarkEnd w:id="17"/>
      <w:r>
        <w:rPr>
          <w:rFonts w:hint="default"/>
        </w:rPr>
        <w:t xml:space="preserve"> </w:t>
      </w:r>
    </w:p>
    <w:p w14:paraId="733EFC5E">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本模块按三大法域拆分，每个子模块的流程、文书要求均严格对齐域内监管的强制性规则与模板要求。</w:t>
      </w:r>
    </w:p>
    <w:p w14:paraId="62078699">
      <w:pPr>
        <w:pStyle w:val="4"/>
        <w:bidi w:val="0"/>
        <w:rPr>
          <w:rFonts w:hint="default"/>
        </w:rPr>
      </w:pPr>
      <w:r>
        <w:rPr>
          <w:rFonts w:hint="default"/>
        </w:rPr>
        <w:t xml:space="preserve">4.4.1 中国大陆区域合规落地 </w:t>
      </w:r>
    </w:p>
    <w:p w14:paraId="209A1BA3">
      <w:pPr>
        <w:pStyle w:val="5"/>
        <w:bidi w:val="0"/>
        <w:rPr>
          <w:rFonts w:hint="default" w:ascii="Times New Roman" w:hAnsi="Times New Roman" w:cs="Times New Roman"/>
        </w:rPr>
      </w:pPr>
      <w:r>
        <w:rPr>
          <w:rFonts w:hint="default" w:ascii="Times New Roman" w:hAnsi="Times New Roman" w:cs="Times New Roman"/>
        </w:rPr>
        <w:t xml:space="preserve">4.4.1.1 数据出境安全评估路径 </w:t>
      </w:r>
    </w:p>
    <w:p w14:paraId="1C4BD625">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本模块适用于触发安全评估门槛的场景（CIIO出境、涉重要数据、一般个人信息≥100万、敏感个人信息≥1万）。</w:t>
      </w:r>
      <w:r>
        <w:rPr>
          <w:rFonts w:hint="default" w:ascii="Times New Roman" w:hAnsi="Times New Roman" w:eastAsia="宋体" w:cs="Times New Roman"/>
          <w:b/>
          <w:bCs/>
          <w:sz w:val="24"/>
          <w:szCs w:val="24"/>
        </w:rPr>
        <w:t>用户输入</w:t>
      </w:r>
      <w:r>
        <w:rPr>
          <w:rFonts w:hint="default" w:ascii="Times New Roman" w:hAnsi="Times New Roman" w:eastAsia="宋体" w:cs="Times New Roman"/>
          <w:sz w:val="24"/>
          <w:szCs w:val="24"/>
        </w:rPr>
        <w:t>需覆盖自评估所需的10项法定信息：数据处理者基础信息（全称、统一社会信用代码、法定代表人、所属行业）、自评估工作信息（起止时间、组织方式）、数据出境场景描述（业务目的、频率、起止时间）、出境数据清单（数据项名称、内容、是否个人信息/敏感个人信息、出境必要性、示例）、系统与链路信息（境内外存储位置、传输链路）、安全保障能力（制度建设、技术措施、认证证书）、境外接收方信息（基本情况、处理目的、安全能力）、法律文件（与接收方签订的数据处理合同/条款）、历史合规情况（是否受过行政处罚及整改）、个人信息保护情况（告知与单独同意履行情况）。</w:t>
      </w:r>
    </w:p>
    <w:p w14:paraId="7583A345">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系统输出</w:t>
      </w:r>
      <w:r>
        <w:rPr>
          <w:rFonts w:hint="default" w:ascii="Times New Roman" w:hAnsi="Times New Roman" w:eastAsia="宋体" w:cs="Times New Roman"/>
          <w:sz w:val="24"/>
          <w:szCs w:val="24"/>
        </w:rPr>
        <w:t>两份交付：一是《数据出境风险自评估报告（草案）》，严格对齐国家网信办《数据出境安全评估申报指南（第二版）》的模板结构，包含数据处理者与境外接收方情况、出境数据情况、出境目的与链路、安全保障能力、风险自评估结论等核心模块；二是《草案生成逻辑与合规性说明》，含生成过程概述、关键判断与合规化处理说明、当前草案的已知合规差距与待定项、后续步骤建议、免责声明。</w:t>
      </w:r>
    </w:p>
    <w:p w14:paraId="5A464E16">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流程法学要求严格对齐《数据出境安全评估办法》：企业通过国家网信办“数据出境申报系统”在线提交→省级网信办5个工作日内完成完备性查验→国家网信办7个工作日内作出受理决定→一般45个工作日内完成评估→对结果有异议可15个工作日内申请复评→评估结果有效期届满前60个工作日内可申请延长，省级5个工作日查验、国家20个工作日审核。</w:t>
      </w:r>
    </w:p>
    <w:p w14:paraId="26B3D912">
      <w:pPr>
        <w:pStyle w:val="5"/>
        <w:bidi w:val="0"/>
        <w:rPr>
          <w:rFonts w:hint="default"/>
        </w:rPr>
      </w:pPr>
      <w:r>
        <w:rPr>
          <w:rFonts w:hint="default"/>
        </w:rPr>
        <w:t xml:space="preserve">4.4.1.2 认证/标准合同路径 </w:t>
      </w:r>
    </w:p>
    <w:p w14:paraId="57D6E515">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本模块适用于未触发安全评估门槛、且不属于豁免场景的个人信息出境。</w:t>
      </w:r>
      <w:r>
        <w:rPr>
          <w:rFonts w:hint="default" w:ascii="Times New Roman" w:hAnsi="Times New Roman" w:eastAsia="宋体" w:cs="Times New Roman"/>
          <w:b/>
          <w:bCs/>
          <w:sz w:val="24"/>
          <w:szCs w:val="24"/>
        </w:rPr>
        <w:t>用户输入</w:t>
      </w:r>
      <w:r>
        <w:rPr>
          <w:rFonts w:hint="default" w:ascii="Times New Roman" w:hAnsi="Times New Roman" w:eastAsia="宋体" w:cs="Times New Roman"/>
          <w:sz w:val="24"/>
          <w:szCs w:val="24"/>
        </w:rPr>
        <w:t>需覆盖PIA（个人信息保护影响评估）所需的7项信息：处理者与出境活动基础信息（处理者基本情况、出境业务概述、合法性基础、必要性论证）、出境个人信息清单（字段级清单，用于自动统计规模、识别敏感信息）、系统与存储信息（境内外存储位置、传输技术链路）、境外接收方信息（基本情况、处理用途、安全能力）、法律文件（已签/拟签的SCC或等效条款、生效隐私政策）、合规证据（告知-同意履行证据、内部数据安全制度）、自我评估与整改情况（对照《标准合同办法》第五条的自我评估问题与整改）。</w:t>
      </w:r>
    </w:p>
    <w:p w14:paraId="2421513A">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系统输出</w:t>
      </w:r>
      <w:r>
        <w:rPr>
          <w:rFonts w:hint="default" w:ascii="Times New Roman" w:hAnsi="Times New Roman" w:eastAsia="宋体" w:cs="Times New Roman"/>
          <w:sz w:val="24"/>
          <w:szCs w:val="24"/>
        </w:rPr>
        <w:t>两份交付：一是《个人信息保护影响评估报告（草案）》，严格对齐《个人信息出境标准合同备案指南（第二版）》附件5的逐字模板要求，区分高/中/低风险项并给出整改建议；二是《草案生成逻辑与合规性说明》，标注合规差距与行动建议。若用户选择认证路径，则额外输出认证申请辅助材料，对齐《个人信息出境认证办法》要求，认证证书有效期3年，到期前6个月可申请延续，认证机构需向网信办备案。</w:t>
      </w:r>
    </w:p>
    <w:p w14:paraId="344AE92F">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流程法学要求严格对齐《个人信息出境标准合同办法》：SCC模板必备条款（数据出境目的、数据主体权利、争议解决、数据接收方义务等）不得修改，可选条款（如管辖法院、违约金）提示用户选择→合同生效之日起10个工作日内通过“数据出境申报系统”提交备案→省级网信部门15个工作日内完成材料查验，需补充材料的10个工作日内重新提交，逾期终止备案。</w:t>
      </w:r>
    </w:p>
    <w:p w14:paraId="4CBB5528">
      <w:pPr>
        <w:pStyle w:val="4"/>
        <w:bidi w:val="0"/>
        <w:rPr>
          <w:rFonts w:hint="default"/>
        </w:rPr>
      </w:pPr>
      <w:r>
        <w:rPr>
          <w:rFonts w:hint="default"/>
        </w:rPr>
        <w:t xml:space="preserve">4.4.2 欧盟区域合规落地 </w:t>
      </w:r>
    </w:p>
    <w:p w14:paraId="25B6EB77">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本模块覆盖GDPR项下数据出境的全场景合规需求。</w:t>
      </w:r>
    </w:p>
    <w:p w14:paraId="4CAF58CA">
      <w:pPr>
        <w:pStyle w:val="5"/>
        <w:bidi w:val="0"/>
        <w:rPr>
          <w:rFonts w:hint="default" w:ascii="Times New Roman" w:hAnsi="Times New Roman" w:cs="Times New Roman"/>
        </w:rPr>
      </w:pPr>
      <w:r>
        <w:rPr>
          <w:rFonts w:hint="default" w:ascii="Times New Roman" w:hAnsi="Times New Roman" w:cs="Times New Roman"/>
        </w:rPr>
        <w:t xml:space="preserve">4.4.2.1 SCC审查与生成 </w:t>
      </w:r>
    </w:p>
    <w:p w14:paraId="4FCD8A28">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锚定欧盟委员会(EU)2021/914号《向第三国传输个人数据的标准合同条款实施决定》（2022年9月27日起替代旧版2004/915、2010/87号SCC），按传输场景分四模块：C2C（控制者到控制者）、C2P（控制者到处理者）、P2P（处理者到处理者）、P2C（处理者到控制者），模块选择需与实际传输关系匹配。用户上传SCC文件后，系统输出《SCC合规审查报告》，条款级审查需符合Schrems II案及EDPB《01/2020补充传输措施建议》要求：核心核查点包含是否缺失第三国法律评估（如接收方位于美国，需评估美国《外国情报监视法》第702条的公权力访问风险）、是否缺失技术/合同/组织补充措施、是否不当修改SCC标准条款（SCC核心条款不得修改，仅附录可填写）、模块选择是否错误（如处理者传输错误选用C2C模块）。</w:t>
      </w:r>
    </w:p>
    <w:p w14:paraId="3259713B">
      <w:pPr>
        <w:pStyle w:val="5"/>
        <w:bidi w:val="0"/>
        <w:rPr>
          <w:rFonts w:hint="default" w:ascii="Times New Roman" w:hAnsi="Times New Roman" w:cs="Times New Roman"/>
        </w:rPr>
      </w:pPr>
      <w:r>
        <w:rPr>
          <w:rFonts w:hint="default" w:ascii="Times New Roman" w:hAnsi="Times New Roman" w:cs="Times New Roman"/>
        </w:rPr>
        <w:t xml:space="preserve">4.4.2.2 BCR审核 </w:t>
      </w:r>
    </w:p>
    <w:p w14:paraId="50DC1562">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锚定GDPR第四十七条“有约束力的公司规则（BCR）”要求，BCR分为BCR-C（控制者间传输）、BCR-P（处理者间传输），需符合EDPB发布的BCR模板强制性要求。用户上传BCR文件后，系统输出《BCR合规审查报告》，核心审查点包含：是否明确数据主体第三方受益人权利（GDPR第四十七条强制要求，缺失则BCR无法获批）、是否指定欧盟境内责任主体、是否有明确投诉流程与监管协作机制、是否覆盖所有欧盟出境实体。报告含文件概要、总体合规评级、条款级审查发现、核心风险优先级排序（高风险需立即修改、中风险建议优化、低风险完善建议）。</w:t>
      </w:r>
    </w:p>
    <w:p w14:paraId="736EA5BF">
      <w:pPr>
        <w:pStyle w:val="5"/>
        <w:bidi w:val="0"/>
        <w:rPr>
          <w:rFonts w:hint="default" w:ascii="Times New Roman" w:hAnsi="Times New Roman" w:cs="Times New Roman"/>
        </w:rPr>
      </w:pPr>
      <w:r>
        <w:rPr>
          <w:rFonts w:hint="default" w:ascii="Times New Roman" w:hAnsi="Times New Roman" w:cs="Times New Roman"/>
        </w:rPr>
        <w:t xml:space="preserve">4.4.2.3 DPIA草案生成 </w:t>
      </w:r>
    </w:p>
    <w:p w14:paraId="1333E54A">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锚定GDPR第三十五条、第29条工作组WP248rev.01《数据保护影响评估指南》要求，适用于GDPR项下“可能导致高风险”的处理活动（如AI招聘、物联网健康监测、公共空间人群分析等）。用户输入需覆盖7项维度：项目基本信息与目标、处理活动描述（数据类、主体数、保留期限、是否跨境）、咨询过程（内部部门/外部专家/数据主体咨询情况）、必要性与相称性（合法性基础、是否为实现目的必需）、风险识别与评估（可能性+严重性）、风险缓解措施、DPO意见与签署。系统输出DPIA草案，DPO意见需明确“同意/附条件同意/否决”及理由，如AI招聘场景DPO可要求“实施6个月后复审”“增设算法可解释性说明”作为附条件同意前提。</w:t>
      </w:r>
    </w:p>
    <w:p w14:paraId="19DCF03E">
      <w:pPr>
        <w:pStyle w:val="5"/>
        <w:bidi w:val="0"/>
        <w:rPr>
          <w:rFonts w:hint="default" w:ascii="Times New Roman" w:hAnsi="Times New Roman" w:cs="Times New Roman"/>
        </w:rPr>
      </w:pPr>
      <w:r>
        <w:rPr>
          <w:rFonts w:hint="default" w:ascii="Times New Roman" w:hAnsi="Times New Roman" w:cs="Times New Roman"/>
        </w:rPr>
        <w:t xml:space="preserve">4.4.2.4 TIA草案生成 </w:t>
      </w:r>
    </w:p>
    <w:p w14:paraId="2C3900CD">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锚定EDPB《01/2020补充传输措施建议》的六步法强制要求，适用于向未获欧盟充分性认定国家传输个人信息的场景（如向美国传输）。用户输入需覆盖6项维度：传输基本信息（出口方/进口方/目的/数据类/主体/频率）、传输工具（SCC/BCR/充分性认定）、目的地法律与实践评估（是否有公权力访问风险、当地数据保护执法力度）、补充措施（技术性如加密/去标识化、合同性如审计权/数据处理协议、组织性如员工培训/ incident响应）、实施步骤、定期复审日期（如英国获充分性认定，可简化TIA为告知性评估；美国为高风::, 需完整走六步并附加DOJ要求的安全措施）。系统输出《TIA草案》，含传输概述、法律评估结论、补充措施有效性说明、DPO意见、复审计划。</w:t>
      </w:r>
    </w:p>
    <w:p w14:paraId="1972AF2A">
      <w:pPr>
        <w:pStyle w:val="4"/>
        <w:bidi w:val="0"/>
        <w:rPr>
          <w:rFonts w:hint="default"/>
        </w:rPr>
      </w:pPr>
      <w:r>
        <w:rPr>
          <w:rFonts w:hint="default"/>
        </w:rPr>
        <w:t xml:space="preserve">4.4.3 美国加州区域合规落地 </w:t>
      </w:r>
    </w:p>
    <w:p w14:paraId="3FB99ACD">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本模块覆盖美国加州CPRA及联邦第14117号行政令的合规要求。</w:t>
      </w:r>
    </w:p>
    <w:p w14:paraId="740CD7F1">
      <w:pPr>
        <w:pStyle w:val="5"/>
        <w:bidi w:val="0"/>
        <w:rPr>
          <w:rFonts w:hint="default" w:ascii="Times New Roman" w:hAnsi="Times New Roman" w:cs="Times New Roman"/>
        </w:rPr>
      </w:pPr>
      <w:r>
        <w:rPr>
          <w:rFonts w:hint="default" w:ascii="Times New Roman" w:hAnsi="Times New Roman" w:cs="Times New Roman"/>
        </w:rPr>
        <w:t xml:space="preserve">4.4.3.1 14117行政令合规 </w:t>
      </w:r>
    </w:p>
    <w:p w14:paraId="3166098A">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锚定2024年2月28日生效的《第14117号行政令：防止受关注国家获取美国人批量敏感个人数据和美国政府相关数据》、美国司法部2024年12月发布、2025年4月8日生效的《防止受关注国家获取美国人批量敏感个人数据和美国政府相关数据的规定》，受关注国家包含中国、俄罗斯、伊朗、朝鲜、古巴、委内瑞拉等。用户输入需包含两份清单：数据清单（数据项名称、内容、是否批量敏感个人数据&lt;人类基因组/精确地理位置/生物特征/电子通信记录等&gt;、出境必要性）、实体清单（外部合作方全称/注册地/股权结构、内部员工清单&lt;姓名/国籍/岗位&gt;）。系统输出《14117行政令风险评估结论报告》，以红黄绿灯给出明确结论：红灯（禁止传输，如向受关注国家“被覆盖的人”——持股50%以上/控制董事会/可指导活动的实体——传输批量敏感个人数据，属于14117禁止交易，无法通过安全措施缓解）；黄灯（限制性交易，如向受关注国家传输批量敏感数据但未达禁止阈值，需实施DOJ要求的技术+合同+组织补充措施后可传输）；绿灯（低风险放行，如接收方非受关注国家、数据未达批量阈值&lt;批量敏感个人数据指人类基因组&gt;100人、精确位置&gt;1000人、生物特征&gt;1万人等&gt;）。</w:t>
      </w:r>
    </w:p>
    <w:p w14:paraId="1D59A4A7">
      <w:pPr>
        <w:pStyle w:val="5"/>
        <w:bidi w:val="0"/>
        <w:rPr>
          <w:rFonts w:hint="default" w:ascii="Times New Roman" w:hAnsi="Times New Roman" w:cs="Times New Roman"/>
        </w:rPr>
      </w:pPr>
      <w:r>
        <w:rPr>
          <w:rFonts w:hint="default" w:ascii="Times New Roman" w:hAnsi="Times New Roman" w:cs="Times New Roman"/>
        </w:rPr>
        <w:t xml:space="preserve">4.4.3.2 CPRA合规 </w:t>
      </w:r>
    </w:p>
    <w:p w14:paraId="7922ABD6">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锚定《加州消费者隐私法》（CCPA）/《加州隐私权法案》（CPRA），管辖门槛为：企业年收入≥2500万美元，或年处理≥10万加州消费者个人信息，或50%以上年收入来自出售/共享个人信息。用户输入需覆盖4项维度：企业基本信息与CPRA适用性自检、数据处理活动（数据流图谱、合法性基础、留存期限）、消费者权利响应机制（DSR受理渠道、身份验证、处理SLA）、技术与管理措施（敏感个人信息使用、第三方出售/共享情况、“选择退出”机制、暗模式扫描）。系统输出《加州CPRA合规全景报告》，含执行摘要、企业适用性结论、数据处理合规分析、DSR机制完备性评估、敏感信息与第三方管理、行动清单与优先级。示例场景：典型加州电商平台年收入3000万、使用第三方广告、未设“不出售我的个人信息”链接，系统输出“部分缺失”评级，提示“选择退出机制缺失违反CPRA第1219条，需在隐私政策首页增设专属链接”。</w:t>
      </w:r>
    </w:p>
    <w:p w14:paraId="1FD70CBD">
      <w:pPr>
        <w:pStyle w:val="3"/>
        <w:bidi w:val="0"/>
        <w:rPr>
          <w:rFonts w:hint="default"/>
        </w:rPr>
      </w:pPr>
      <w:bookmarkStart w:id="18" w:name="_Toc905"/>
      <w:r>
        <w:rPr>
          <w:rFonts w:hint="default"/>
        </w:rPr>
        <w:t>4.5 文档专项智能审查</w:t>
      </w:r>
      <w:bookmarkEnd w:id="18"/>
      <w:r>
        <w:rPr>
          <w:rFonts w:hint="default"/>
        </w:rPr>
        <w:t xml:space="preserve"> </w:t>
      </w:r>
    </w:p>
    <w:p w14:paraId="0559E717">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本模块</w:t>
      </w:r>
      <w:r>
        <w:rPr>
          <w:rFonts w:hint="default" w:ascii="Times New Roman" w:hAnsi="Times New Roman" w:cs="Times New Roman"/>
          <w:sz w:val="24"/>
          <w:szCs w:val="24"/>
          <w:lang w:val="en-US" w:eastAsia="zh-CN"/>
        </w:rPr>
        <w:t>为</w:t>
      </w:r>
      <w:r>
        <w:rPr>
          <w:rFonts w:hint="default" w:ascii="Times New Roman" w:hAnsi="Times New Roman" w:eastAsia="宋体" w:cs="Times New Roman"/>
          <w:sz w:val="24"/>
          <w:szCs w:val="24"/>
        </w:rPr>
        <w:t>“文档专项智能审查”内容，审查范围覆盖</w:t>
      </w:r>
      <w:r>
        <w:rPr>
          <w:rFonts w:hint="default" w:ascii="Times New Roman" w:hAnsi="Times New Roman" w:cs="Times New Roman"/>
          <w:sz w:val="24"/>
          <w:szCs w:val="24"/>
          <w:lang w:val="en-US" w:eastAsia="zh-CN"/>
        </w:rPr>
        <w:t>数据从中国大陆</w:t>
      </w:r>
      <w:r>
        <w:rPr>
          <w:rFonts w:hint="default" w:ascii="Times New Roman" w:hAnsi="Times New Roman" w:eastAsia="宋体" w:cs="Times New Roman"/>
          <w:sz w:val="24"/>
          <w:szCs w:val="24"/>
        </w:rPr>
        <w:t>出境全链路法律文件：出境相关合同（SCC、数据处理协议DPA、云服务协议中的数据出境附件、数据安全保密协议）、对用户公开的法律文件（生效隐私政策/个人信息处理规则）、企业内部制度（数据安全管理制度、个人信息保护政策）。</w:t>
      </w:r>
    </w:p>
    <w:p w14:paraId="64C6F7E3">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审查规则严格按法学合规要求设置：一是必备条款缺失审查，如SCC的争议解决条款、数据主体权利条款、数据出境目的限制条款是否缺失（违反《个人信息出境标准合同办法》第五条“标准合同必备条款不得修改、不得缺失”要求）；二是合规冲突审查，如合同约定的数据保留期限超出《个人信息保护法》第十九条“保存期限为实现处理目的所必要的最短时间”要求、向美国传输的合同约定未设置EO14117禁止的批量敏感数据条款、违反行业重要数据目录的传输限制（如汽车数据不得向境外提供车辆流量占比超10%的路段的原始数据，违反《汽车数据安全管理若干规定》第六条）；三是风险条款标注，如“合同约定数据可向第三方无限制转传输”违反《标准合同办法》第五条目的限制要求，需标注风险等级（高/中/低）及对应法条依据、修改建议。</w:t>
      </w:r>
    </w:p>
    <w:p w14:paraId="2AA00948">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系统输出</w:t>
      </w:r>
      <w:r>
        <w:rPr>
          <w:rFonts w:hint="default" w:ascii="Times New Roman" w:hAnsi="Times New Roman" w:eastAsia="宋体" w:cs="Times New Roman"/>
          <w:sz w:val="24"/>
          <w:szCs w:val="24"/>
        </w:rPr>
        <w:t>为《数据出境合同（法律文件）合规审查报告》（Word格式），含文件概要、总体合规评级、条款级审查发现清单（每项含定位、原文引用、问题类型、风险分析、法规依据、修改建议）。示例场景：审查《数据委托处理服务合同》约定“受托方位于香港的服务器可存储委托方用户行为数据”，系统输出高风险评级，提示“未明确签署SCC、未做PIA即传输，违反《数据出境安全评估办法》第二条‘境外主体可访问境内数据即构成出境’的认定口径，需补充SCC备案及PIA报告”。</w:t>
      </w:r>
    </w:p>
    <w:p w14:paraId="7C6AE1F9">
      <w:pPr>
        <w:pStyle w:val="3"/>
        <w:bidi w:val="0"/>
        <w:rPr>
          <w:rFonts w:hint="default"/>
        </w:rPr>
      </w:pPr>
      <w:bookmarkStart w:id="19" w:name="_Toc20981"/>
      <w:r>
        <w:rPr>
          <w:rFonts w:hint="default"/>
        </w:rPr>
        <w:t>4.6 法律规则库管理</w:t>
      </w:r>
      <w:bookmarkEnd w:id="19"/>
      <w:r>
        <w:rPr>
          <w:rFonts w:hint="default"/>
        </w:rPr>
        <w:t xml:space="preserve"> </w:t>
      </w:r>
    </w:p>
    <w:p w14:paraId="4523DEAB">
      <w:pPr>
        <w:pStyle w:val="14"/>
        <w:keepNext w:val="0"/>
        <w:keepLines w:val="0"/>
        <w:widowControl/>
        <w:suppressLineNumbers w:val="0"/>
        <w:spacing w:line="36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本模块对应用户整理的CN/EU/US文件夹下的Reference库内容，是系统合规判定的核心依据，管理要求严格按法学产品标准设置</w:t>
      </w:r>
      <w:r>
        <w:rPr>
          <w:rFonts w:hint="default" w:ascii="Times New Roman" w:hAnsi="Times New Roman" w:cs="Times New Roman"/>
          <w:sz w:val="24"/>
          <w:szCs w:val="24"/>
          <w:lang w:eastAsia="zh-CN"/>
        </w:rPr>
        <w:t>。</w:t>
      </w:r>
    </w:p>
    <w:p w14:paraId="7E4D8345">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rPr>
        <w:t>一是覆盖范围</w:t>
      </w:r>
      <w:r>
        <w:rPr>
          <w:rFonts w:hint="default" w:ascii="Times New Roman" w:hAnsi="Times New Roman" w:cs="Times New Roman"/>
          <w:sz w:val="24"/>
          <w:szCs w:val="24"/>
          <w:lang w:eastAsia="zh-CN"/>
        </w:rPr>
        <w:t>。</w:t>
      </w:r>
      <w:r>
        <w:rPr>
          <w:rFonts w:hint="default" w:ascii="Times New Roman" w:hAnsi="Times New Roman" w:eastAsia="宋体" w:cs="Times New Roman"/>
          <w:b/>
          <w:bCs/>
          <w:sz w:val="24"/>
          <w:szCs w:val="24"/>
        </w:rPr>
        <w:t>中国大陆</w:t>
      </w:r>
      <w:r>
        <w:rPr>
          <w:rFonts w:hint="default" w:ascii="Times New Roman" w:hAnsi="Times New Roman" w:eastAsia="宋体" w:cs="Times New Roman"/>
          <w:sz w:val="24"/>
          <w:szCs w:val="24"/>
        </w:rPr>
        <w:t>包含《数据安全法》《个人信息保护法》《数据出境安全评估办法》《促进和规范数据跨境流动规定》及各行业重要数据目录（汽车、金融、医疗、智能网联汽车等）、国家网信办申报指南及官方问答；</w:t>
      </w:r>
      <w:r>
        <w:rPr>
          <w:rFonts w:hint="default" w:ascii="Times New Roman" w:hAnsi="Times New Roman" w:eastAsia="宋体" w:cs="Times New Roman"/>
          <w:b/>
          <w:bCs/>
          <w:sz w:val="24"/>
          <w:szCs w:val="24"/>
        </w:rPr>
        <w:t>欧盟</w:t>
      </w:r>
      <w:r>
        <w:rPr>
          <w:rFonts w:hint="default" w:ascii="Times New Roman" w:hAnsi="Times New Roman" w:eastAsia="宋体" w:cs="Times New Roman"/>
          <w:sz w:val="24"/>
          <w:szCs w:val="24"/>
        </w:rPr>
        <w:t>包含GDPR、EU(2021)914号SCC实施决定、充分性认定国家清单（2024年新增韩国、英国）、EDPB指南、Schrems I/II判例；</w:t>
      </w:r>
      <w:r>
        <w:rPr>
          <w:rFonts w:hint="default" w:ascii="Times New Roman" w:hAnsi="Times New Roman" w:eastAsia="宋体" w:cs="Times New Roman"/>
          <w:b/>
          <w:bCs/>
          <w:sz w:val="24"/>
          <w:szCs w:val="24"/>
        </w:rPr>
        <w:t>美国</w:t>
      </w:r>
      <w:r>
        <w:rPr>
          <w:rFonts w:hint="default" w:ascii="Times New Roman" w:hAnsi="Times New Roman" w:eastAsia="宋体" w:cs="Times New Roman"/>
          <w:sz w:val="24"/>
          <w:szCs w:val="24"/>
        </w:rPr>
        <w:t>包含CPRA、EO14117及DOJ最终规则、CLOUD Act、FISA702、EU-U.S.数据隐私框架。</w:t>
      </w:r>
      <w:r>
        <w:rPr>
          <w:rFonts w:hint="default" w:ascii="Times New Roman" w:hAnsi="Times New Roman" w:cs="Times New Roman"/>
          <w:sz w:val="24"/>
          <w:szCs w:val="24"/>
          <w:lang w:val="en-US" w:eastAsia="zh-CN"/>
        </w:rPr>
        <w:t>除此之外，笔者考虑到中、美、欧三法域的数据出境规则中均需考虑</w:t>
      </w:r>
      <w:r>
        <w:rPr>
          <w:rFonts w:hint="default" w:ascii="Times New Roman" w:hAnsi="Times New Roman" w:cs="Times New Roman"/>
          <w:b/>
          <w:bCs/>
          <w:sz w:val="24"/>
          <w:szCs w:val="24"/>
          <w:lang w:val="en-US" w:eastAsia="zh-CN"/>
        </w:rPr>
        <w:t>数据接收方所在国家或地区</w:t>
      </w:r>
      <w:r>
        <w:rPr>
          <w:rFonts w:hint="default" w:ascii="Times New Roman" w:hAnsi="Times New Roman" w:cs="Times New Roman"/>
          <w:sz w:val="24"/>
          <w:szCs w:val="24"/>
          <w:lang w:val="en-US" w:eastAsia="zh-CN"/>
        </w:rPr>
        <w:t>的数据保护水平，而接收方所在国家或地区并不局限于中、美、欧，故应当结合各个国家、地区数据跨境业务（尤其是成为接收方目的地的概率）丰富程度，确定将港澳台、日本、韩国、新加坡、马来西亚、越南的数据跨境与数据保护规则，纳入到知识库当中。</w:t>
      </w:r>
    </w:p>
    <w:p w14:paraId="1244DF01">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二是版本管控</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中国大陆新规生效后3个工作日内完成规则库更新，EU/US新规生效后5个工作日内完成更新（含翻译与合规律师审核签字），留存审核记录，严禁未经审核直接更新规则。</w:t>
      </w:r>
    </w:p>
    <w:p w14:paraId="313908BD">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三是溯源要求</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每条判定依据必须关联到具体法规的条款号，可反向追溯至法规原文，如“敏感个人信息≥1万触发安全评估”需溯源至《促进和规范数据跨境流动规定》第七条第二款，“SCC必备条款不得修改”需溯源至《个人信息出境标准合同办法》第五条。</w:t>
      </w:r>
    </w:p>
    <w:p w14:paraId="42204AAB">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四是失效规则处理</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法规废止或修订后，对应规则需标记为失效，不得继续用于判定，如2022年9月27日起旧版EU2004/915号SCC规则需标记为失效，仅保留EU(2021)914号规则。</w:t>
      </w:r>
    </w:p>
    <w:p w14:paraId="0CF36FD6">
      <w:pPr>
        <w:pStyle w:val="14"/>
        <w:keepNext w:val="0"/>
        <w:keepLines w:val="0"/>
        <w:widowControl/>
        <w:suppressLineNumbers w:val="0"/>
        <w:spacing w:line="360" w:lineRule="auto"/>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五是合规映射表</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形成“功能点-判定节点-法规条款”的强制映射关系，确保所有功能判定均有明确法条依据，示例如下：</w:t>
      </w:r>
    </w:p>
    <w:p w14:paraId="2394F6CC">
      <w:pPr>
        <w:keepNext w:val="0"/>
        <w:keepLines w:val="0"/>
        <w:widowControl/>
        <w:suppressLineNumbers w:val="0"/>
        <w:spacing w:line="360" w:lineRule="auto"/>
        <w:rPr>
          <w:rFonts w:hint="default" w:ascii="Times New Roman" w:hAnsi="Times New Roman" w:eastAsia="宋体" w:cs="Times New Roman"/>
        </w:rPr>
      </w:pPr>
    </w:p>
    <w:p w14:paraId="54A7B81F">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17CF8805">
      <w:pPr>
        <w:pStyle w:val="2"/>
        <w:bidi w:val="0"/>
        <w:rPr>
          <w:rFonts w:hint="eastAsia"/>
          <w:lang w:val="en-US" w:eastAsia="zh-CN"/>
        </w:rPr>
      </w:pPr>
      <w:bookmarkStart w:id="20" w:name="_Toc26632"/>
      <w:r>
        <w:rPr>
          <w:rFonts w:hint="eastAsia"/>
          <w:lang w:val="en-US" w:eastAsia="zh-CN"/>
        </w:rPr>
        <w:t>5. 合规与输出边界（法学核心）</w:t>
      </w:r>
      <w:bookmarkEnd w:id="20"/>
      <w:r>
        <w:rPr>
          <w:rFonts w:hint="eastAsia"/>
          <w:lang w:val="en-US" w:eastAsia="zh-CN"/>
        </w:rPr>
        <w:t xml:space="preserve"> </w:t>
      </w:r>
    </w:p>
    <w:p w14:paraId="3BF27650">
      <w:pPr>
        <w:bidi w:val="0"/>
        <w:spacing w:line="360" w:lineRule="auto"/>
        <w:ind w:firstLine="480" w:firstLineChars="20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本章定位为系统的“合规底线清单”</w:t>
      </w:r>
      <w:r>
        <w:rPr>
          <w:rFonts w:hint="default" w:ascii="Times New Roman" w:hAnsi="Times New Roman"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区别于前章“系统应当实现什么功能”的正向表述，本章明确系统“绝对不得越界的边界、必须暂停自动决策的触发条件、以及全流程留痕的审计要求”，核心逻辑是守住“AI为法学辅助工具、不替代执业律师、不突破监管口径、全程可追溯”的底层原则，所有规则均对齐《律师法》《数据安全法》《个人信息保护法》及生成式AI监管的相关要求，与第1章“合规优先、法学兜底、AI赋能”的定位形成闭环。</w:t>
      </w:r>
    </w:p>
    <w:p w14:paraId="5A39D7A0">
      <w:pPr>
        <w:pStyle w:val="3"/>
        <w:bidi w:val="0"/>
        <w:rPr>
          <w:rFonts w:hint="default"/>
        </w:rPr>
      </w:pPr>
      <w:bookmarkStart w:id="21" w:name="_Toc31167"/>
      <w:r>
        <w:rPr>
          <w:rFonts w:hint="default"/>
        </w:rPr>
        <w:t>5.1 输出合规要求</w:t>
      </w:r>
      <w:bookmarkEnd w:id="21"/>
      <w:r>
        <w:rPr>
          <w:rFonts w:hint="default"/>
        </w:rPr>
        <w:t xml:space="preserve"> </w:t>
      </w:r>
    </w:p>
    <w:p w14:paraId="54D9B151">
      <w:pPr>
        <w:pStyle w:val="4"/>
        <w:bidi w:val="0"/>
        <w:rPr>
          <w:rFonts w:hint="default"/>
        </w:rPr>
      </w:pPr>
      <w:r>
        <w:rPr>
          <w:rFonts w:hint="default"/>
        </w:rPr>
        <w:t xml:space="preserve">5.1.1 通用免责声明 </w:t>
      </w:r>
    </w:p>
    <w:p w14:paraId="12842D9D">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所有系统输出（含路径诊断报告、文书草稿、审查报告、界面提示）必须固定携带免责声明，放置位置需醒目（Word导出文件首页页脚、报告末尾、界面输出顶部三处固定显示），字体不小于正文（小四号/12pt），内容经合规律师审核固化后不得由用户自定义修改、裁剪或隐藏，具体表述为：</w:t>
      </w:r>
      <w:r>
        <w:rPr>
          <w:rFonts w:hint="eastAsia" w:cs="Times New Roman"/>
          <w:lang w:eastAsia="zh-CN"/>
        </w:rPr>
        <w:t>“</w:t>
      </w:r>
      <w:r>
        <w:rPr>
          <w:rFonts w:hint="default" w:ascii="Times New Roman" w:hAnsi="Times New Roman" w:eastAsia="宋体" w:cs="Times New Roman"/>
        </w:rPr>
        <w:t>本系统输出仅为数据出境合规辅助参考，不构成执业律师出具的最终法律意见，不可替代律师的专业判断与服务，具体事宜需咨询具备数据合规律师执业资质的从业人员；若您将本输出直接用于正式申报、诉讼、商业决策等场景，由此产生的法律责任由您自行承担，系统及开发运营方不承担任何责任。</w:t>
      </w:r>
      <w:r>
        <w:rPr>
          <w:rFonts w:hint="eastAsia" w:cs="Times New Roman"/>
          <w:lang w:eastAsia="zh-CN"/>
        </w:rPr>
        <w:t>”</w:t>
      </w:r>
    </w:p>
    <w:p w14:paraId="168200AA">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免责声明的设置依据为《律师法》第十三条“未取得律师执业证书的人员，不得以律师名义从事法律服务业务”的排他性要求，以及《生成式人工智能服务管理暂行办法》第九条“提供者应当对生成内容的合法性负责，明确提示生成内容的辅助属性”的监管要求，目的是避免用户误将AI输出当作正式法律意见使用，防范执业合规风险。</w:t>
      </w:r>
    </w:p>
    <w:p w14:paraId="215A0BA9">
      <w:pPr>
        <w:pStyle w:val="4"/>
        <w:bidi w:val="0"/>
        <w:rPr>
          <w:rFonts w:hint="default"/>
        </w:rPr>
      </w:pPr>
      <w:bookmarkStart w:id="33" w:name="_GoBack"/>
      <w:bookmarkEnd w:id="33"/>
      <w:r>
        <w:rPr>
          <w:rFonts w:hint="default"/>
        </w:rPr>
        <w:t xml:space="preserve">5.1.2 输出内容边界 </w:t>
      </w:r>
    </w:p>
    <w:p w14:paraId="776A32EA">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系统输出需严格区分“合规辅助范畴”与“禁区”，所有输出项均需绑定对应法条/监管依据，不得超范围输出：</w:t>
      </w:r>
    </w:p>
    <w:p w14:paraId="7D505A10">
      <w:pPr>
        <w:pStyle w:val="5"/>
        <w:bidi w:val="0"/>
        <w:rPr>
          <w:rFonts w:hint="default"/>
        </w:rPr>
      </w:pPr>
      <w:r>
        <w:rPr>
          <w:rFonts w:hint="eastAsia"/>
          <w:lang w:val="en-US" w:eastAsia="zh-CN"/>
        </w:rPr>
        <w:t>5.1.2.1</w:t>
      </w:r>
      <w:r>
        <w:rPr>
          <w:rFonts w:hint="default"/>
        </w:rPr>
        <w:t>可输出范畴（均需在输出中标注对应依据）</w:t>
      </w:r>
    </w:p>
    <w:p w14:paraId="4FA7AFAB">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可输出</w:t>
      </w:r>
      <w:r>
        <w:rPr>
          <w:rFonts w:hint="default" w:ascii="Times New Roman" w:hAnsi="Times New Roman" w:eastAsia="宋体" w:cs="Times New Roman"/>
        </w:rPr>
        <w:t>合规路径建议</w:t>
      </w:r>
      <w:r>
        <w:rPr>
          <w:rFonts w:hint="eastAsia" w:cs="Times New Roman"/>
          <w:lang w:eastAsia="zh-CN"/>
        </w:rPr>
        <w:t>。</w:t>
      </w:r>
      <w:r>
        <w:rPr>
          <w:rFonts w:hint="default" w:ascii="Times New Roman" w:hAnsi="Times New Roman" w:eastAsia="宋体" w:cs="Times New Roman"/>
        </w:rPr>
        <w:t>基于用户输入的事实与选定法域规则，输出“是否构成数据出境、是否需申报、适用安全评估/标准合同/认证/豁免哪条路径”的结论，依据为《数据安全法》第三十条“数据处理者应当履行数据安全自查义务”的法定要求，系统仅辅助企业完成自查</w:t>
      </w:r>
      <w:r>
        <w:rPr>
          <w:rFonts w:hint="eastAsia" w:cs="Times New Roman"/>
          <w:lang w:eastAsia="zh-CN"/>
        </w:rPr>
        <w:t>。</w:t>
      </w:r>
    </w:p>
    <w:p w14:paraId="4D23F556">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可输出</w:t>
      </w:r>
      <w:r>
        <w:rPr>
          <w:rFonts w:hint="default" w:ascii="Times New Roman" w:hAnsi="Times New Roman" w:eastAsia="宋体" w:cs="Times New Roman"/>
        </w:rPr>
        <w:t>法条依据</w:t>
      </w:r>
      <w:r>
        <w:rPr>
          <w:rFonts w:hint="eastAsia" w:cs="Times New Roman"/>
          <w:lang w:eastAsia="zh-CN"/>
        </w:rPr>
        <w:t>。</w:t>
      </w:r>
      <w:r>
        <w:rPr>
          <w:rFonts w:hint="default" w:ascii="Times New Roman" w:hAnsi="Times New Roman" w:eastAsia="宋体" w:cs="Times New Roman"/>
        </w:rPr>
        <w:t>每条结论需绑定具体法规的“名称+条款号+核心内容摘要”，如“触发安全评估，依据《促进和规范数据跨境流动规定》第七条第二款‘敏感个人信息出境主体数≥1万的，应当申报数据出境安全评估’”，与第4.6节“合规映射表”的要求呼应</w:t>
      </w:r>
      <w:r>
        <w:rPr>
          <w:rFonts w:hint="eastAsia" w:cs="Times New Roman"/>
          <w:lang w:eastAsia="zh-CN"/>
        </w:rPr>
        <w:t>。</w:t>
      </w:r>
    </w:p>
    <w:p w14:paraId="6416BD58">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可输出</w:t>
      </w:r>
      <w:r>
        <w:rPr>
          <w:rFonts w:hint="default" w:ascii="Times New Roman" w:hAnsi="Times New Roman" w:eastAsia="宋体" w:cs="Times New Roman"/>
        </w:rPr>
        <w:t>申报材料清单</w:t>
      </w:r>
      <w:r>
        <w:rPr>
          <w:rFonts w:hint="eastAsia" w:cs="Times New Roman"/>
          <w:lang w:eastAsia="zh-CN"/>
        </w:rPr>
        <w:t>。</w:t>
      </w:r>
      <w:r>
        <w:rPr>
          <w:rFonts w:hint="default" w:ascii="Times New Roman" w:hAnsi="Times New Roman" w:eastAsia="宋体" w:cs="Times New Roman"/>
        </w:rPr>
        <w:t>根据用户选定的路径，自动生成该路径下需制备的材料清单，标注缺项（如走安全评估路径需补充《境外接收方数据保护能力证明》），依据为国家网信办《数据出境安全评估申报指南（第二版）》的附件要求</w:t>
      </w:r>
      <w:r>
        <w:rPr>
          <w:rFonts w:hint="eastAsia" w:cs="Times New Roman"/>
          <w:lang w:eastAsia="zh-CN"/>
        </w:rPr>
        <w:t>。</w:t>
      </w:r>
    </w:p>
    <w:p w14:paraId="28AD7BCA">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可输出</w:t>
      </w:r>
      <w:r>
        <w:rPr>
          <w:rFonts w:hint="default" w:ascii="Times New Roman" w:hAnsi="Times New Roman" w:eastAsia="宋体" w:cs="Times New Roman"/>
        </w:rPr>
        <w:t>文书草稿</w:t>
      </w:r>
      <w:r>
        <w:rPr>
          <w:rFonts w:hint="eastAsia" w:cs="Times New Roman"/>
          <w:lang w:eastAsia="zh-CN"/>
        </w:rPr>
        <w:t>。</w:t>
      </w:r>
      <w:r>
        <w:rPr>
          <w:rFonts w:hint="default" w:ascii="Times New Roman" w:hAnsi="Times New Roman" w:eastAsia="宋体" w:cs="Times New Roman"/>
        </w:rPr>
        <w:t>含《风险自评估报告》《PIA报告》《SCC模板》等，均需标注「草稿，需合规律师审核签字后使用」的水印，不得直接作为正式申报材料提交</w:t>
      </w:r>
      <w:r>
        <w:rPr>
          <w:rFonts w:hint="eastAsia" w:cs="Times New Roman"/>
          <w:lang w:eastAsia="zh-CN"/>
        </w:rPr>
        <w:t>。</w:t>
      </w:r>
    </w:p>
    <w:p w14:paraId="6E80E5D2">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可输出</w:t>
      </w:r>
      <w:r>
        <w:rPr>
          <w:rFonts w:hint="default" w:ascii="Times New Roman" w:hAnsi="Times New Roman" w:eastAsia="宋体" w:cs="Times New Roman"/>
        </w:rPr>
        <w:t>风险点标注</w:t>
      </w:r>
      <w:r>
        <w:rPr>
          <w:rFonts w:hint="eastAsia" w:cs="Times New Roman"/>
          <w:lang w:eastAsia="zh-CN"/>
        </w:rPr>
        <w:t>。</w:t>
      </w:r>
      <w:r>
        <w:rPr>
          <w:rFonts w:hint="default" w:ascii="Times New Roman" w:hAnsi="Times New Roman" w:eastAsia="宋体" w:cs="Times New Roman"/>
        </w:rPr>
        <w:t>对路径判定、文书、审查中发现的风险，标注风险等级（高/中/低）及对应法条依据、修改建议</w:t>
      </w:r>
      <w:r>
        <w:rPr>
          <w:rFonts w:hint="eastAsia" w:cs="Times New Roman"/>
          <w:lang w:eastAsia="zh-CN"/>
        </w:rPr>
        <w:t>。</w:t>
      </w:r>
    </w:p>
    <w:p w14:paraId="7F34552D">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eastAsia" w:cs="Times New Roman"/>
          <w:lang w:val="en-US" w:eastAsia="zh-CN"/>
        </w:rPr>
        <w:t>可输出</w:t>
      </w:r>
      <w:r>
        <w:rPr>
          <w:rFonts w:hint="default" w:ascii="Times New Roman" w:hAnsi="Times New Roman" w:eastAsia="宋体" w:cs="Times New Roman"/>
        </w:rPr>
        <w:t>合规事实提示</w:t>
      </w:r>
      <w:r>
        <w:rPr>
          <w:rFonts w:hint="eastAsia" w:cs="Times New Roman"/>
          <w:lang w:eastAsia="zh-CN"/>
        </w:rPr>
        <w:t>。</w:t>
      </w:r>
      <w:r>
        <w:rPr>
          <w:rFonts w:hint="default" w:ascii="Times New Roman" w:hAnsi="Times New Roman" w:eastAsia="宋体" w:cs="Times New Roman"/>
        </w:rPr>
        <w:t>如“走安全评估路径法定审查周期为45个工作日，可能影响业务上线节奏”，仅陈述监管明文规定的客观事实，不做商业取舍建议。</w:t>
      </w:r>
    </w:p>
    <w:p w14:paraId="2AD9920A">
      <w:pPr>
        <w:pStyle w:val="5"/>
        <w:bidi w:val="0"/>
        <w:rPr>
          <w:rFonts w:hint="default"/>
        </w:rPr>
      </w:pPr>
      <w:r>
        <w:rPr>
          <w:rFonts w:hint="eastAsia"/>
          <w:lang w:val="en-US" w:eastAsia="zh-CN"/>
        </w:rPr>
        <w:t>5.1.2.2</w:t>
      </w:r>
      <w:r>
        <w:rPr>
          <w:rFonts w:hint="default"/>
        </w:rPr>
        <w:t>绝对不可输出范畴</w:t>
      </w:r>
    </w:p>
    <w:p w14:paraId="5EE610A0">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不可输出</w:t>
      </w:r>
      <w:r>
        <w:rPr>
          <w:rFonts w:hint="default" w:ascii="Times New Roman" w:hAnsi="Times New Roman" w:eastAsia="宋体" w:cs="Times New Roman"/>
        </w:rPr>
        <w:t>最终法律意见</w:t>
      </w:r>
      <w:r>
        <w:rPr>
          <w:rFonts w:hint="eastAsia" w:cs="Times New Roman"/>
          <w:lang w:eastAsia="zh-CN"/>
        </w:rPr>
        <w:t>。</w:t>
      </w:r>
      <w:r>
        <w:rPr>
          <w:rFonts w:hint="default" w:ascii="Times New Roman" w:hAnsi="Times New Roman" w:eastAsia="宋体" w:cs="Times New Roman"/>
        </w:rPr>
        <w:t>即符合《律师法》第二十八条规定的、需执业律师签字方生效的法律结论（如“贵司该出境行为合法，可放心传输”），AI无执业资质，不得出具</w:t>
      </w:r>
      <w:r>
        <w:rPr>
          <w:rFonts w:hint="eastAsia" w:cs="Times New Roman"/>
          <w:lang w:eastAsia="zh-CN"/>
        </w:rPr>
        <w:t>。</w:t>
      </w:r>
    </w:p>
    <w:p w14:paraId="6D8C1CF6">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不可输出</w:t>
      </w:r>
      <w:r>
        <w:rPr>
          <w:rFonts w:hint="default" w:ascii="Times New Roman" w:hAnsi="Times New Roman" w:eastAsia="宋体" w:cs="Times New Roman"/>
        </w:rPr>
        <w:t>监管审批结果预测</w:t>
      </w:r>
      <w:r>
        <w:rPr>
          <w:rFonts w:hint="eastAsia" w:cs="Times New Roman"/>
          <w:lang w:eastAsia="zh-CN"/>
        </w:rPr>
        <w:t>。</w:t>
      </w:r>
      <w:r>
        <w:rPr>
          <w:rFonts w:hint="default" w:ascii="Times New Roman" w:hAnsi="Times New Roman" w:eastAsia="宋体" w:cs="Times New Roman"/>
        </w:rPr>
        <w:t>如“贵司安全评估申报90%能通过”“标准合同备案不会被打回”，监管审批结果属于未公开的行政决定，系统无获取权限，且预测结论可能误导用户</w:t>
      </w:r>
      <w:r>
        <w:rPr>
          <w:rFonts w:hint="eastAsia" w:cs="Times New Roman"/>
          <w:lang w:eastAsia="zh-CN"/>
        </w:rPr>
        <w:t>。</w:t>
      </w:r>
    </w:p>
    <w:p w14:paraId="4FD4B4DC">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不可输出</w:t>
      </w:r>
      <w:r>
        <w:rPr>
          <w:rFonts w:hint="default" w:ascii="Times New Roman" w:hAnsi="Times New Roman" w:eastAsia="宋体" w:cs="Times New Roman"/>
        </w:rPr>
        <w:t>商业决策建议</w:t>
      </w:r>
      <w:r>
        <w:rPr>
          <w:rFonts w:hint="eastAsia" w:cs="Times New Roman"/>
          <w:lang w:eastAsia="zh-CN"/>
        </w:rPr>
        <w:t>。</w:t>
      </w:r>
      <w:r>
        <w:rPr>
          <w:rFonts w:hint="default" w:ascii="Times New Roman" w:hAnsi="Times New Roman" w:eastAsia="宋体" w:cs="Times New Roman"/>
        </w:rPr>
        <w:t>如“建议贵司放弃该出境业务”“建议贵司拆分项目规避安全评估门槛”，前者属于企业经营决策，超出合规辅助范围；后者违反《促进和规范数据跨境流动规定》第九条“不得通过拆分、伪装等方式规避数据出境合规义务”的禁止性要求，系统不得输出任何规避监管的“技巧性”建议</w:t>
      </w:r>
      <w:r>
        <w:rPr>
          <w:rFonts w:hint="eastAsia" w:cs="Times New Roman"/>
          <w:lang w:eastAsia="zh-CN"/>
        </w:rPr>
        <w:t>。</w:t>
      </w:r>
    </w:p>
    <w:p w14:paraId="02923A3D">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不可输出</w:t>
      </w:r>
      <w:r>
        <w:rPr>
          <w:rFonts w:hint="default" w:ascii="Times New Roman" w:hAnsi="Times New Roman" w:eastAsia="宋体" w:cs="Times New Roman"/>
        </w:rPr>
        <w:t>未公开监管规则</w:t>
      </w:r>
      <w:r>
        <w:rPr>
          <w:rFonts w:hint="eastAsia" w:cs="Times New Roman"/>
          <w:lang w:eastAsia="zh-CN"/>
        </w:rPr>
        <w:t>。</w:t>
      </w:r>
      <w:r>
        <w:rPr>
          <w:rFonts w:hint="default" w:ascii="Times New Roman" w:hAnsi="Times New Roman" w:eastAsia="宋体" w:cs="Times New Roman"/>
        </w:rPr>
        <w:t>如监管内部会议纪要、未发布的征求意见稿、未公开处罚裁量的内部口径，系统规则库仅接入公开发布的有效文件</w:t>
      </w:r>
      <w:r>
        <w:rPr>
          <w:rFonts w:hint="eastAsia" w:cs="Times New Roman"/>
          <w:lang w:eastAsia="zh-CN"/>
        </w:rPr>
        <w:t>。</w:t>
      </w:r>
    </w:p>
    <w:p w14:paraId="3FD08CC0">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eastAsia" w:cs="Times New Roman"/>
          <w:lang w:val="en-US" w:eastAsia="zh-CN"/>
        </w:rPr>
        <w:t>不可输出</w:t>
      </w:r>
      <w:r>
        <w:rPr>
          <w:rFonts w:hint="default" w:ascii="Times New Roman" w:hAnsi="Times New Roman" w:eastAsia="宋体" w:cs="Times New Roman"/>
        </w:rPr>
        <w:t>虚假/违规申报材料</w:t>
      </w:r>
      <w:r>
        <w:rPr>
          <w:rFonts w:hint="eastAsia" w:cs="Times New Roman"/>
          <w:lang w:eastAsia="zh-CN"/>
        </w:rPr>
        <w:t>。</w:t>
      </w:r>
      <w:r>
        <w:rPr>
          <w:rFonts w:hint="default" w:ascii="Times New Roman" w:hAnsi="Times New Roman" w:eastAsia="宋体" w:cs="Times New Roman"/>
        </w:rPr>
        <w:t>不得引导用户填写虚假业务事实（如虚报个人信息数量为80万以规避100万门槛），不得生成规避监管的申报内容</w:t>
      </w:r>
      <w:r>
        <w:rPr>
          <w:rFonts w:hint="eastAsia" w:cs="Times New Roman"/>
          <w:lang w:eastAsia="zh-CN"/>
        </w:rPr>
        <w:t>。</w:t>
      </w:r>
    </w:p>
    <w:p w14:paraId="19AEE77E">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eastAsia" w:cs="Times New Roman"/>
          <w:lang w:val="en-US" w:eastAsia="zh-CN"/>
        </w:rPr>
        <w:t>不可输出</w:t>
      </w:r>
      <w:r>
        <w:rPr>
          <w:rFonts w:hint="default" w:ascii="Times New Roman" w:hAnsi="Times New Roman" w:eastAsia="宋体" w:cs="Times New Roman"/>
        </w:rPr>
        <w:t>用户未授权披露的数据</w:t>
      </w:r>
      <w:r>
        <w:rPr>
          <w:rFonts w:hint="eastAsia" w:cs="Times New Roman"/>
          <w:lang w:eastAsia="zh-CN"/>
        </w:rPr>
        <w:t>。</w:t>
      </w:r>
      <w:r>
        <w:rPr>
          <w:rFonts w:hint="default" w:ascii="Times New Roman" w:hAnsi="Times New Roman" w:eastAsia="宋体" w:cs="Times New Roman"/>
        </w:rPr>
        <w:t>用户输入的企业业务数据、个人信息仅用于本次合规任务，不得输出给第三方或在其他项目中复用。</w:t>
      </w:r>
    </w:p>
    <w:p w14:paraId="7EEB50D6">
      <w:pPr>
        <w:pStyle w:val="3"/>
        <w:bidi w:val="0"/>
        <w:rPr>
          <w:rFonts w:hint="default"/>
        </w:rPr>
      </w:pPr>
      <w:bookmarkStart w:id="22" w:name="_Toc247"/>
      <w:r>
        <w:rPr>
          <w:rFonts w:hint="default"/>
        </w:rPr>
        <w:t>5.2 人工复核触发条件</w:t>
      </w:r>
      <w:bookmarkEnd w:id="22"/>
    </w:p>
    <w:p w14:paraId="4E9997EC">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当出现以下任一情形时，系统需立即冻结该项目的自动输出权限，标记状态为「需人工复核」，推送至合规</w:t>
      </w:r>
      <w:r>
        <w:rPr>
          <w:rFonts w:hint="eastAsia" w:cs="Times New Roman"/>
          <w:lang w:val="en-US" w:eastAsia="zh-CN"/>
        </w:rPr>
        <w:t>专业人员</w:t>
      </w:r>
      <w:r>
        <w:rPr>
          <w:rFonts w:hint="default" w:ascii="Times New Roman" w:hAnsi="Times New Roman" w:eastAsia="宋体" w:cs="Times New Roman"/>
        </w:rPr>
        <w:t>队列（合规</w:t>
      </w:r>
      <w:r>
        <w:rPr>
          <w:rFonts w:hint="eastAsia" w:cs="Times New Roman"/>
          <w:lang w:val="en-US" w:eastAsia="zh-CN"/>
        </w:rPr>
        <w:t>专业人员</w:t>
      </w:r>
      <w:r>
        <w:rPr>
          <w:rFonts w:hint="default" w:ascii="Times New Roman" w:hAnsi="Times New Roman" w:eastAsia="宋体" w:cs="Times New Roman"/>
        </w:rPr>
        <w:t>需在72小时内反馈复核意见，原输出标记「已复核/维持原结论/修正结论」），不得自行输出结论：</w:t>
      </w:r>
    </w:p>
    <w:p w14:paraId="573645D1">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数据类型定性争议</w:t>
      </w:r>
      <w:r>
        <w:rPr>
          <w:rFonts w:hint="eastAsia" w:cs="Times New Roman"/>
          <w:b/>
          <w:bCs/>
          <w:lang w:eastAsia="zh-CN"/>
        </w:rPr>
        <w:t>。</w:t>
      </w:r>
      <w:r>
        <w:rPr>
          <w:rFonts w:hint="default" w:ascii="Times New Roman" w:hAnsi="Times New Roman" w:eastAsia="宋体" w:cs="Times New Roman"/>
        </w:rPr>
        <w:t>用户对数据类型归属提出异议，或系统内置规则无法明确判定的，如VIN码+行驶轨迹是否属重要数据（《汽车数据安全管理若干规定》第三条将“涉及10万以上个人的车辆数据”列为重要数据，但已去标识化且无法关联车主的VIN码是否仍属重要数据存在监管口径争议）、匿名化数据是否达到《个人信息保护法》第七十三条“无法识别且不能复原”的标准、电网调度数据是否属国家核心数据等，需由合规律师结合行业目录与最新监管口径判定；</w:t>
      </w:r>
    </w:p>
    <w:p w14:paraId="485048B4">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涉及国家安全、公共利益数据</w:t>
      </w:r>
      <w:r>
        <w:rPr>
          <w:rFonts w:hint="eastAsia" w:cs="Times New Roman"/>
          <w:b/>
          <w:bCs/>
          <w:lang w:eastAsia="zh-CN"/>
        </w:rPr>
        <w:t>。</w:t>
      </w:r>
      <w:r>
        <w:rPr>
          <w:rFonts w:hint="default" w:ascii="Times New Roman" w:hAnsi="Times New Roman" w:eastAsia="宋体" w:cs="Times New Roman"/>
        </w:rPr>
        <w:t>如军工科研数据、疾控传染病溯源数据、电网核心调度数据等，此类数据的重要数据/核心数据目录部分为保密级，系统内置特征库覆盖不全，且涉及《数据安全法》第二十一条“国家核心数据实行更严格保护”的特殊要求，需合规律师核验；</w:t>
      </w:r>
    </w:p>
    <w:p w14:paraId="2712E71E">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境外接收方属于制裁/受限清单</w:t>
      </w:r>
      <w:r>
        <w:rPr>
          <w:rFonts w:hint="eastAsia" w:cs="Times New Roman"/>
          <w:b/>
          <w:bCs/>
          <w:lang w:eastAsia="zh-CN"/>
        </w:rPr>
        <w:t>。</w:t>
      </w:r>
      <w:r>
        <w:rPr>
          <w:rFonts w:hint="default" w:ascii="Times New Roman" w:hAnsi="Times New Roman" w:eastAsia="宋体" w:cs="Times New Roman"/>
        </w:rPr>
        <w:t>如接收方命中EO14117「被覆盖的人」（依据美国司法部2025年最终规则，含持股50%以上的中国实体、可任命多数董事/指导经营决策的中国实体）、欧盟对俄制裁清单、中国《不可靠实体清单规定》列名实体等，此类场景需叠加《阻断外国法律与措施不当域外适用办法》的要求，系统规则库更新可能滞后于清单动态调整（如美国OFAC清单每周更新），且跨境制裁合规的判断深度超出AI能力，需合规律师介入；</w:t>
      </w:r>
    </w:p>
    <w:p w14:paraId="0C722D4A">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第四，</w:t>
      </w:r>
      <w:r>
        <w:rPr>
          <w:rFonts w:hint="default" w:ascii="Times New Roman" w:hAnsi="Times New Roman" w:eastAsia="宋体" w:cs="Times New Roman"/>
          <w:b/>
          <w:bCs/>
        </w:rPr>
        <w:t>用户对系统输出提出异议</w:t>
      </w:r>
      <w:r>
        <w:rPr>
          <w:rFonts w:hint="eastAsia" w:cs="Times New Roman"/>
          <w:b/>
          <w:bCs/>
          <w:lang w:eastAsia="zh-CN"/>
        </w:rPr>
        <w:t>。</w:t>
      </w:r>
      <w:r>
        <w:rPr>
          <w:rFonts w:hint="default" w:ascii="Times New Roman" w:hAnsi="Times New Roman" w:eastAsia="宋体" w:cs="Times New Roman"/>
        </w:rPr>
        <w:t>用户点击界面「我不认同该结论，申请复核」按钮后，系统自动冻结输出，推送复核；</w:t>
      </w:r>
    </w:p>
    <w:p w14:paraId="1A74C3C4">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第五，</w:t>
      </w:r>
      <w:r>
        <w:rPr>
          <w:rFonts w:hint="default" w:ascii="Times New Roman" w:hAnsi="Times New Roman" w:eastAsia="宋体" w:cs="Times New Roman"/>
          <w:b/>
          <w:bCs/>
        </w:rPr>
        <w:t>规则冲突无法自动裁决</w:t>
      </w:r>
      <w:r>
        <w:rPr>
          <w:rFonts w:hint="eastAsia" w:cs="Times New Roman"/>
          <w:b/>
          <w:bCs/>
          <w:lang w:eastAsia="zh-CN"/>
        </w:rPr>
        <w:t>。</w:t>
      </w:r>
      <w:r>
        <w:rPr>
          <w:rFonts w:hint="default" w:ascii="Times New Roman" w:hAnsi="Times New Roman" w:eastAsia="宋体" w:cs="Times New Roman"/>
        </w:rPr>
        <w:t>如地方规定与中央规定冲突（如上海临港数据跨境负面清单与全国通用规则的差异）、新规与旧规过渡期冲突（如2024年《促进和规范数据跨境流动规定》新增“跨境人力资源管理”豁免，与旧版《数据出境安全评估办法》的HR数据传输口径冲突，过渡期内的存量项目如何处理）、行业目录与通用规则冲突等，系统检测到冲突后标黄提示，推人工；</w:t>
      </w:r>
    </w:p>
    <w:p w14:paraId="750B4718">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第六，</w:t>
      </w:r>
      <w:r>
        <w:rPr>
          <w:rFonts w:hint="default" w:ascii="Times New Roman" w:hAnsi="Times New Roman" w:eastAsia="宋体" w:cs="Times New Roman"/>
          <w:b/>
          <w:bCs/>
        </w:rPr>
        <w:t>系统置信度低于90%</w:t>
      </w:r>
      <w:r>
        <w:rPr>
          <w:rFonts w:hint="eastAsia" w:cs="Times New Roman"/>
          <w:b/>
          <w:bCs/>
          <w:lang w:eastAsia="zh-CN"/>
        </w:rPr>
        <w:t>。</w:t>
      </w:r>
      <w:r>
        <w:rPr>
          <w:rFonts w:hint="default" w:ascii="Times New Roman" w:hAnsi="Times New Roman" w:eastAsia="宋体" w:cs="Times New Roman"/>
        </w:rPr>
        <w:t>置信度由三项加权计算：规则匹配度（占40%，如匹配法条号正确但适用场景偏差扣20%）、法条引用准确度（占40%，如把“敏感个人信息1万门槛”写成“5000”扣30%）、用户输入完整性（占20%，缺失2项及以上必填项扣10%），合计&lt;90%即触发；置信度模型每半年由合规律师校准一次，避免模型漂移；</w:t>
      </w:r>
    </w:p>
    <w:p w14:paraId="7DE011EE">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第七，</w:t>
      </w:r>
      <w:r>
        <w:rPr>
          <w:rFonts w:hint="default" w:ascii="Times New Roman" w:hAnsi="Times New Roman" w:eastAsia="宋体" w:cs="Times New Roman"/>
          <w:b/>
          <w:bCs/>
        </w:rPr>
        <w:t>合规</w:t>
      </w:r>
      <w:r>
        <w:rPr>
          <w:rFonts w:hint="eastAsia" w:cs="Times New Roman"/>
          <w:b/>
          <w:bCs/>
          <w:lang w:val="en-US" w:eastAsia="zh-CN"/>
        </w:rPr>
        <w:t>专业人员</w:t>
      </w:r>
      <w:r>
        <w:rPr>
          <w:rFonts w:hint="default" w:ascii="Times New Roman" w:hAnsi="Times New Roman" w:eastAsia="宋体" w:cs="Times New Roman"/>
          <w:b/>
          <w:bCs/>
        </w:rPr>
        <w:t>认为需复核的其他场景</w:t>
      </w:r>
      <w:r>
        <w:rPr>
          <w:rFonts w:hint="eastAsia" w:cs="Times New Roman"/>
          <w:b/>
          <w:bCs/>
          <w:lang w:eastAsia="zh-CN"/>
        </w:rPr>
        <w:t>。</w:t>
      </w:r>
      <w:r>
        <w:rPr>
          <w:rFonts w:hint="default" w:ascii="Times New Roman" w:hAnsi="Times New Roman" w:eastAsia="宋体" w:cs="Times New Roman"/>
        </w:rPr>
        <w:t>如用户上传的文件加密无法识别、涉及未公开监管试点（如北京自贸区数据出境负面清单试点）、涉及未成年人个人信息出境等。</w:t>
      </w:r>
    </w:p>
    <w:p w14:paraId="75CF812A">
      <w:pPr>
        <w:pStyle w:val="3"/>
        <w:bidi w:val="0"/>
        <w:rPr>
          <w:rFonts w:hint="default"/>
        </w:rPr>
      </w:pPr>
      <w:bookmarkStart w:id="23" w:name="_Toc19876"/>
      <w:r>
        <w:rPr>
          <w:rFonts w:hint="default"/>
        </w:rPr>
        <w:t>5.3 合规审计要求</w:t>
      </w:r>
      <w:bookmarkEnd w:id="23"/>
      <w:r>
        <w:rPr>
          <w:rFonts w:hint="default"/>
        </w:rPr>
        <w:t xml:space="preserve"> </w:t>
      </w:r>
    </w:p>
    <w:p w14:paraId="2F16FDD1">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系统需满足数据合规领域的法定审计留存要求，所有痕迹不得篡改、可追溯，适配监管核查与内部合规审计的需求</w:t>
      </w:r>
      <w:r>
        <w:rPr>
          <w:rFonts w:hint="eastAsia" w:cs="Times New Roman"/>
          <w:lang w:eastAsia="zh-CN"/>
        </w:rPr>
        <w:t>。</w:t>
      </w:r>
    </w:p>
    <w:p w14:paraId="3AA56DD5">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留存期限与依据</w:t>
      </w:r>
      <w:r>
        <w:rPr>
          <w:rFonts w:hint="eastAsia" w:cs="Times New Roman"/>
          <w:b/>
          <w:bCs/>
          <w:lang w:eastAsia="zh-CN"/>
        </w:rPr>
        <w:t>。</w:t>
      </w:r>
      <w:r>
        <w:rPr>
          <w:rFonts w:hint="default" w:ascii="Times New Roman" w:hAnsi="Times New Roman" w:eastAsia="宋体" w:cs="Times New Roman"/>
        </w:rPr>
        <w:t>所有操作记录、系统输出记录、规则更新记录、人工复核记录需留存至少3年，依据为《数据安全法》第二十七条“重要数据的处理情况记录应当留存至少三年”、《个人信息保护法》第五十三条“个人信息处理者的合规审计记录应当留存至少三年”、GDPR第三十条“处理活动记录需留存至监管要求的期限”，若涉及安全评估申报项目，留存期限需覆盖“评估有效期+有效期届满后60个工作日”（与4.4.1.1的安全评估延期要求呼应）；</w:t>
      </w:r>
    </w:p>
    <w:p w14:paraId="53158069">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审计日志记录字段</w:t>
      </w:r>
      <w:r>
        <w:rPr>
          <w:rFonts w:hint="eastAsia" w:cs="Times New Roman"/>
          <w:b/>
          <w:bCs/>
          <w:lang w:eastAsia="zh-CN"/>
        </w:rPr>
        <w:t>。</w:t>
      </w:r>
      <w:r>
        <w:rPr>
          <w:rFonts w:hint="default" w:ascii="Times New Roman" w:hAnsi="Times New Roman" w:eastAsia="宋体" w:cs="Times New Roman"/>
        </w:rPr>
        <w:t>需完整包含以下不可篡改的字段：操作用户账号（脱敏存储个人敏感信息）、操作IP、操作时间、输入的事实信息（加密存储）、匹配的规则条文（含版本号）、输出结论、是否触发人工复核、合规律师复核意见、规则库版本号；</w:t>
      </w:r>
    </w:p>
    <w:p w14:paraId="332394E2">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存储要求</w:t>
      </w:r>
      <w:r>
        <w:rPr>
          <w:rFonts w:hint="eastAsia" w:cs="Times New Roman"/>
          <w:b/>
          <w:bCs/>
          <w:lang w:eastAsia="zh-CN"/>
        </w:rPr>
        <w:t>。</w:t>
      </w:r>
      <w:r>
        <w:rPr>
          <w:rFonts w:hint="default" w:ascii="Times New Roman" w:hAnsi="Times New Roman" w:eastAsia="宋体" w:cs="Times New Roman"/>
        </w:rPr>
        <w:t>审计日志采用WORM（一次写入多次读取）存储技术，防止篡改、删除，仅合规律师与监管授权人员可调取，运维人员无修改权限；</w:t>
      </w:r>
    </w:p>
    <w:p w14:paraId="167E31FF">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第四，</w:t>
      </w:r>
      <w:r>
        <w:rPr>
          <w:rFonts w:hint="default" w:ascii="Times New Roman" w:hAnsi="Times New Roman" w:eastAsia="宋体" w:cs="Times New Roman"/>
          <w:b/>
          <w:bCs/>
        </w:rPr>
        <w:t>专项审计</w:t>
      </w:r>
      <w:r>
        <w:rPr>
          <w:rFonts w:hint="eastAsia" w:cs="Times New Roman"/>
          <w:b/>
          <w:bCs/>
          <w:lang w:eastAsia="zh-CN"/>
        </w:rPr>
        <w:t>。</w:t>
      </w:r>
      <w:r>
        <w:rPr>
          <w:rFonts w:hint="default" w:ascii="Times New Roman" w:hAnsi="Times New Roman" w:eastAsia="宋体" w:cs="Times New Roman"/>
        </w:rPr>
        <w:t>若单个项目触发3次及以上人工复核、或输出的文书被用于正式申报后被监管打回、或用户投诉输出错误，系统自动标记该项目为「审计重点」，留存更详细的痕迹（含用户输入的每一次修改、规则匹配的每一次日志），合规律师需出具专项审计报告。</w:t>
      </w:r>
    </w:p>
    <w:p w14:paraId="51FE138D">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20300BCA">
      <w:pPr>
        <w:pStyle w:val="2"/>
        <w:bidi w:val="0"/>
        <w:rPr>
          <w:rFonts w:hint="eastAsia"/>
          <w:lang w:val="en-US" w:eastAsia="zh-CN"/>
        </w:rPr>
      </w:pPr>
      <w:bookmarkStart w:id="24" w:name="_Toc14933"/>
      <w:r>
        <w:rPr>
          <w:rFonts w:hint="eastAsia"/>
          <w:lang w:val="en-US" w:eastAsia="zh-CN"/>
        </w:rPr>
        <w:t>6. 非功能需求（技术类·弱化，仅保留法学相关要求）</w:t>
      </w:r>
      <w:bookmarkEnd w:id="24"/>
      <w:r>
        <w:rPr>
          <w:rFonts w:hint="eastAsia"/>
          <w:lang w:val="en-US" w:eastAsia="zh-CN"/>
        </w:rPr>
        <w:t xml:space="preserve"> </w:t>
      </w:r>
    </w:p>
    <w:p w14:paraId="00EF5A2E">
      <w:pPr>
        <w:bidi w:val="0"/>
        <w:spacing w:line="360" w:lineRule="auto"/>
        <w:ind w:firstLine="480" w:firstLineChars="200"/>
        <w:rPr>
          <w:rFonts w:hint="default"/>
        </w:rPr>
      </w:pPr>
      <w:r>
        <w:rPr>
          <w:rFonts w:hint="default"/>
        </w:rPr>
        <w:t>本章为非功能需求章节，整体弱化纯技术指标（如并发量、服务器配置、缓存策略等）要求，仅保留与法学合规属性强关联的非功能规则，确保系统在性能、安全、权限、交互层面均适配数据出境合规场景的特殊要求，与前章法学向功能、合规边界形成闭环，所有规则均对齐《数据安全法》《个人信息保护法》及GDPR等域内规则的合规要求。</w:t>
      </w:r>
    </w:p>
    <w:p w14:paraId="6165DB90">
      <w:pPr>
        <w:pStyle w:val="3"/>
        <w:bidi w:val="0"/>
        <w:rPr>
          <w:rFonts w:hint="default"/>
        </w:rPr>
      </w:pPr>
      <w:bookmarkStart w:id="25" w:name="_Toc20234"/>
      <w:r>
        <w:rPr>
          <w:rFonts w:hint="default"/>
        </w:rPr>
        <w:t>6.1 性能要求</w:t>
      </w:r>
      <w:bookmarkEnd w:id="25"/>
      <w:r>
        <w:rPr>
          <w:rFonts w:hint="default"/>
        </w:rPr>
        <w:t xml:space="preserve"> </w:t>
      </w:r>
    </w:p>
    <w:p w14:paraId="00DCADB8">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性能指标的设定以匹配合规业务的“即时性”需求为核心，避免纯技术视角的指标脱离法学用户场景：合规路径判定（对应4.3节“合规路径诊断”模块）的响应时间需≤5秒，适配企业DPO/法务与境外接收方、监管沟通的“当场出结论”场景（如客户问“我司45万一般个人信息传新加坡要不要申报”，DPO现场输入表单后5秒内出结论，避免会议冷场）；文书生成（对4.4节“分法域合规落地”模块的《自评估报告》《PIA报告》《SCC模板》等草稿生成）响应时间需≤10秒，因文书为律师/法务二次加工的草稿，AI生成后再由专业人员调整，10秒为“可接受等待上限”，若含多法域并行生成（如同时输出中国SCC+欧盟TIA）可放宽至15秒，但需在界面提示“多法域生成中”；规则检索（对应4.6节“法律规则库”查询）响应时间需≤2秒，匹配律师/合规律师的“高频法条核查”习惯（如律师当庭/参会时需快速核对“敏感个人信息1万门槛”的法条原文）。性能统计需区分“纯规则判定请求”与“带文书生成的复合请求”，复合请求的10秒上限已含“草案+生成逻辑说明”的双输出要求，不得仅以“结论输出”计时。</w:t>
      </w:r>
    </w:p>
    <w:p w14:paraId="28767967">
      <w:pPr>
        <w:pStyle w:val="3"/>
        <w:bidi w:val="0"/>
        <w:rPr>
          <w:rFonts w:hint="default"/>
        </w:rPr>
      </w:pPr>
      <w:bookmarkStart w:id="26" w:name="_Toc18371"/>
      <w:r>
        <w:rPr>
          <w:rFonts w:hint="default"/>
        </w:rPr>
        <w:t>6.2 数据安全要求</w:t>
      </w:r>
      <w:bookmarkEnd w:id="26"/>
      <w:r>
        <w:rPr>
          <w:rFonts w:hint="default"/>
        </w:rPr>
        <w:t xml:space="preserve"> </w:t>
      </w:r>
    </w:p>
    <w:p w14:paraId="4914863B">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default" w:ascii="Times New Roman" w:hAnsi="Times New Roman" w:eastAsia="宋体" w:cs="Times New Roman"/>
        </w:rPr>
        <w:t>本模块为法学产品的核心安全底线，所有要求均对齐《数据安全法》第二十七条（重要数据处理记录留存与安全义务）、《个人信息保护法》第五十一条（个人信息处理者的安全技术措施要求）及GDPR第三十二条（适当技术与组织措施）的强制性规定</w:t>
      </w:r>
      <w:r>
        <w:rPr>
          <w:rFonts w:hint="eastAsia" w:cs="Times New Roman"/>
          <w:lang w:eastAsia="zh-CN"/>
        </w:rPr>
        <w:t>。</w:t>
      </w:r>
    </w:p>
    <w:p w14:paraId="5A30384B">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传输加密</w:t>
      </w:r>
      <w:r>
        <w:rPr>
          <w:rFonts w:hint="eastAsia" w:cs="Times New Roman"/>
          <w:b/>
          <w:bCs/>
          <w:lang w:eastAsia="zh-CN"/>
        </w:rPr>
        <w:t>。</w:t>
      </w:r>
      <w:r>
        <w:rPr>
          <w:rFonts w:hint="default" w:ascii="Times New Roman" w:hAnsi="Times New Roman" w:eastAsia="宋体" w:cs="Times New Roman"/>
        </w:rPr>
        <w:t>用户上传的企业业务数据、出境数据清单、合同文件、隐私政策等所有输入内容，传输过程需采用TLS1.3及以上协议加密，避免中途泄露——此类数据多涉企业核心合规信息，部分可能触达行业重要数据边界，传输泄露将直接触发《数据安全法》第四十五条的行政责任；若涉及EO14117项下“受关注国家”相关的批量敏感个人数据，传输通道需额外叠加端到端加密，不得经美国、俄罗斯等受关注国家的节点中转。</w:t>
      </w:r>
    </w:p>
    <w:p w14:paraId="408534EF">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静态加密</w:t>
      </w:r>
      <w:r>
        <w:rPr>
          <w:rFonts w:hint="eastAsia" w:cs="Times New Roman"/>
          <w:b/>
          <w:bCs/>
          <w:lang w:eastAsia="zh-CN"/>
        </w:rPr>
        <w:t>。</w:t>
      </w:r>
      <w:r>
        <w:rPr>
          <w:rFonts w:hint="default" w:ascii="Times New Roman" w:hAnsi="Times New Roman" w:eastAsia="宋体" w:cs="Times New Roman"/>
        </w:rPr>
        <w:t>存储采用AES-256加密算法，密钥与数据库物理分离，密钥由“数规通合规负责人+运维负责人”双人保管，任何单次解密操作需双人授权，避免单人可获取原始业务数据——该要求针对合规数据的敏感性（部分涉CIIO企业、军工科研院所的出境数据可能触及国家秘密边缘），远高于普通C端产品的加密标准。</w:t>
      </w:r>
    </w:p>
    <w:p w14:paraId="5580B047">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数据最小化与留存</w:t>
      </w:r>
      <w:r>
        <w:rPr>
          <w:rFonts w:hint="eastAsia" w:cs="Times New Roman"/>
          <w:b/>
          <w:bCs/>
          <w:lang w:eastAsia="zh-CN"/>
        </w:rPr>
        <w:t>。</w:t>
      </w:r>
      <w:r>
        <w:rPr>
          <w:rFonts w:hint="default" w:ascii="Times New Roman" w:hAnsi="Times New Roman" w:eastAsia="宋体" w:cs="Times New Roman"/>
        </w:rPr>
        <w:t>用户项目默认留存3年（与5.3节审计留存期限、4.4.1.1节安全评估有效期要求呼应，覆盖“评估有效期+届满后60个工作日”的全周期），用户可在项目结束后申请提前删除原始业务数据，删除后仅脱敏审计日志留存（不含用户具体业务内容），不得应删除请求连审计日志一并清除；不得违规向第三方提供用户数据，即便与合作的律所、审计机构共享，也需用户出具书面授权，依据为《个人信息保护法》第二十三条“向第三方提供需履行告知与单独同意义务”。</w:t>
      </w:r>
    </w:p>
    <w:p w14:paraId="3ED96A38">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第四，</w:t>
      </w:r>
      <w:r>
        <w:rPr>
          <w:rFonts w:hint="default" w:ascii="Times New Roman" w:hAnsi="Times New Roman" w:eastAsia="宋体" w:cs="Times New Roman"/>
          <w:b/>
          <w:bCs/>
        </w:rPr>
        <w:t>存储地域限制</w:t>
      </w:r>
      <w:r>
        <w:rPr>
          <w:rFonts w:hint="eastAsia" w:cs="Times New Roman"/>
          <w:b/>
          <w:bCs/>
          <w:lang w:eastAsia="zh-CN"/>
        </w:rPr>
        <w:t>。</w:t>
      </w:r>
      <w:r>
        <w:rPr>
          <w:rFonts w:hint="default" w:ascii="Times New Roman" w:hAnsi="Times New Roman" w:eastAsia="宋体" w:cs="Times New Roman"/>
        </w:rPr>
        <w:t>若用户业务涉EO14117“受关注国家”相关合规（如向美国传输批量敏感数据），原始业务数据不得存储于美国、俄罗斯等受关注国家的云服务器，需存储在欧盟（获充分性认定）或中国境内服务器，符合美国司法部《防止受关注国家获取美国人批量敏感个人数据和美国政府相关数据的规定》的存储要求。</w:t>
      </w:r>
    </w:p>
    <w:p w14:paraId="1CAF647A">
      <w:pPr>
        <w:pStyle w:val="3"/>
        <w:bidi w:val="0"/>
        <w:rPr>
          <w:rFonts w:hint="default"/>
        </w:rPr>
      </w:pPr>
      <w:bookmarkStart w:id="27" w:name="_Toc9087"/>
      <w:r>
        <w:rPr>
          <w:rFonts w:hint="default"/>
        </w:rPr>
        <w:t>6.3 权限管理要求</w:t>
      </w:r>
      <w:bookmarkEnd w:id="27"/>
      <w:r>
        <w:rPr>
          <w:rFonts w:hint="default"/>
        </w:rPr>
        <w:t xml:space="preserve"> </w:t>
      </w:r>
    </w:p>
    <w:p w14:paraId="2AC64F78">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权限设计严格区分四类角色的法学权责边界，不得套用普通SaaS的“管理员/普通用户”二分法，所有权限变更需走合规负责人审批流程并留存记录：</w:t>
      </w:r>
    </w:p>
    <w:p w14:paraId="4E48BFCE">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企业用户（DPO/法务/跨境业务专员）</w:t>
      </w:r>
      <w:r>
        <w:rPr>
          <w:rFonts w:hint="eastAsia" w:cs="Times New Roman"/>
          <w:b/>
          <w:bCs/>
          <w:lang w:eastAsia="zh-CN"/>
        </w:rPr>
        <w:t>。</w:t>
      </w:r>
      <w:r>
        <w:rPr>
          <w:rFonts w:hint="default" w:ascii="Times New Roman" w:hAnsi="Times New Roman" w:eastAsia="宋体" w:cs="Times New Roman"/>
        </w:rPr>
        <w:t>仅可查看、操作本企业（按统一社会信用代码隔离，同一集团不同子公司也需隔离）名下的项目，不得跨企业查看——因不同企业的出境数据可能涉及不同行业重要数据（如车企vs金融机构的重要数据目录完全不同），跨企业查看将违反《数据安全法》第二十一条“数据分类分级与权限管控”要求；企业用户可邀请内部法务/外部律师作为“项目协作者”，但协作者权限由企业用户自主开通、可随时关闭。</w:t>
      </w:r>
    </w:p>
    <w:p w14:paraId="59DEA352">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律师用户（内部合规律师/外部律所承办律师）</w:t>
      </w:r>
      <w:r>
        <w:rPr>
          <w:rFonts w:hint="eastAsia" w:cs="Times New Roman"/>
          <w:b/>
          <w:bCs/>
          <w:lang w:eastAsia="zh-CN"/>
        </w:rPr>
        <w:t>。</w:t>
      </w:r>
      <w:r>
        <w:rPr>
          <w:rFonts w:hint="default" w:ascii="Times New Roman" w:hAnsi="Times New Roman" w:eastAsia="宋体" w:cs="Times New Roman"/>
        </w:rPr>
        <w:t>仅可查看自己承接的客户项目，不得查看其他律师的客户项目；律师账号注册需核验“执业证编号+律所公章”，避免非执业人员冒用律师身份查看客户合规数据；若为红圈所/数据合规专项律所的合作账号，需额外核验律所的“数据合规执业资质”。</w:t>
      </w:r>
    </w:p>
    <w:p w14:paraId="46018512">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监管用户（各级网信办/数据局审核人员）</w:t>
      </w:r>
      <w:r>
        <w:rPr>
          <w:rFonts w:hint="eastAsia" w:cs="Times New Roman"/>
          <w:b/>
          <w:bCs/>
          <w:lang w:eastAsia="zh-CN"/>
        </w:rPr>
        <w:t>。</w:t>
      </w:r>
      <w:r>
        <w:rPr>
          <w:rFonts w:hint="default" w:ascii="Times New Roman" w:hAnsi="Times New Roman" w:eastAsia="宋体" w:cs="Times New Roman"/>
        </w:rPr>
        <w:t>仅可查看管辖范围内的企业申报项目（如陕西省网信办账号仅可查看陕西注册企业的出境申报项目），不得跨省查看；所有监管查阅行为需留存“监管查阅日志”（含查阅人、查阅项目、查阅时间、查阅内容摘要），符合《数据安全法》第三十九条“监管部门履职调取数据需留痕”的要求，日志仅合规负责人可调取。</w:t>
      </w:r>
    </w:p>
    <w:p w14:paraId="5F8FDFDA">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第四，</w:t>
      </w:r>
      <w:r>
        <w:rPr>
          <w:rFonts w:hint="default" w:ascii="Times New Roman" w:hAnsi="Times New Roman" w:eastAsia="宋体" w:cs="Times New Roman"/>
          <w:b/>
          <w:bCs/>
        </w:rPr>
        <w:t>运维/合规用户</w:t>
      </w:r>
      <w:r>
        <w:rPr>
          <w:rFonts w:hint="eastAsia" w:cs="Times New Roman"/>
          <w:b/>
          <w:bCs/>
          <w:lang w:eastAsia="zh-CN"/>
        </w:rPr>
        <w:t>。</w:t>
      </w:r>
      <w:r>
        <w:rPr>
          <w:rFonts w:hint="default" w:ascii="Times New Roman" w:hAnsi="Times New Roman" w:eastAsia="宋体" w:cs="Times New Roman"/>
        </w:rPr>
        <w:t>运维人员仅可查看系统运行日志、规则库更新记录，不得查看任何用户项目的具体业务内容；合规用户（数规通内部合规律师）可查看规则库、审计日志、人工复核队列，但不得直接查看用户项目业务数据——仅当项目触发5.2节“人工复核”条件时，合规用户可申请“临时授权”查看该项目业务数据用于复核，复核完成后授权自动收回，不得留存数据副本。</w:t>
      </w:r>
    </w:p>
    <w:p w14:paraId="166F43E2">
      <w:pPr>
        <w:pStyle w:val="3"/>
        <w:bidi w:val="0"/>
        <w:rPr>
          <w:rFonts w:hint="default"/>
        </w:rPr>
      </w:pPr>
      <w:bookmarkStart w:id="28" w:name="_Toc16195"/>
      <w:r>
        <w:rPr>
          <w:rFonts w:hint="default"/>
        </w:rPr>
        <w:t>6.4 交互要求</w:t>
      </w:r>
      <w:bookmarkEnd w:id="28"/>
      <w:r>
        <w:rPr>
          <w:rFonts w:hint="default"/>
        </w:rPr>
        <w:t xml:space="preserve"> </w:t>
      </w:r>
    </w:p>
    <w:p w14:paraId="7EDC7671">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default" w:ascii="Times New Roman" w:hAnsi="Times New Roman" w:eastAsia="宋体" w:cs="Times New Roman"/>
        </w:rPr>
        <w:t>交互设计需适配法学用户（律师、DPO、监管审核人员）的职业习惯，而非普通C端用户的使用逻辑</w:t>
      </w:r>
      <w:r>
        <w:rPr>
          <w:rFonts w:hint="eastAsia" w:cs="Times New Roman"/>
          <w:lang w:eastAsia="zh-CN"/>
        </w:rPr>
        <w:t>。</w:t>
      </w:r>
    </w:p>
    <w:p w14:paraId="42231C55">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检索适配法学场景</w:t>
      </w:r>
      <w:r>
        <w:rPr>
          <w:rFonts w:hint="eastAsia" w:cs="Times New Roman"/>
          <w:b/>
          <w:bCs/>
          <w:lang w:eastAsia="zh-CN"/>
        </w:rPr>
        <w:t>。</w:t>
      </w:r>
      <w:r>
        <w:rPr>
          <w:rFonts w:hint="default" w:ascii="Times New Roman" w:hAnsi="Times New Roman" w:eastAsia="宋体" w:cs="Times New Roman"/>
        </w:rPr>
        <w:t>支持双模式检索——一是“法条号精准检索”（如输入“《促进和规范数据跨境流动规定》第7条”，直接出条款原文+系统适用说明+对应判例/处罚案例），二是“关键词模糊检索”（如输入“敏感个人信息 1万 门槛”，直接出关联法条+路径判定规则），检索结果需标注法规生效日期、是否现行有效，避免律师检索到失效旧规。</w:t>
      </w:r>
    </w:p>
    <w:p w14:paraId="3CB15A63">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导出格式适配合规交付</w:t>
      </w:r>
      <w:r>
        <w:rPr>
          <w:rFonts w:hint="eastAsia" w:cs="Times New Roman"/>
          <w:b/>
          <w:bCs/>
          <w:lang w:eastAsia="zh-CN"/>
        </w:rPr>
        <w:t>。</w:t>
      </w:r>
      <w:r>
        <w:rPr>
          <w:rFonts w:hint="default" w:ascii="Times New Roman" w:hAnsi="Times New Roman" w:eastAsia="宋体" w:cs="Times New Roman"/>
        </w:rPr>
        <w:t>所有输出（诊断报告、文书草稿、审查报告）支持导出Word（律师可编辑修改，用于客户交付、正式申报）和PDF（格式锁定、防篡改，用于监管提交、内部存档）两种格式；导出的Word文件自动保留“草稿，需合规律师审核后使用”水印及5.1.1节通用免责声明，PDF文件锁定水印与免责声明，不得由用户编辑去除。</w:t>
      </w:r>
    </w:p>
    <w:p w14:paraId="18D47765">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法条依据高亮</w:t>
      </w:r>
      <w:r>
        <w:rPr>
          <w:rFonts w:hint="eastAsia" w:cs="Times New Roman"/>
          <w:b/>
          <w:bCs/>
          <w:lang w:eastAsia="zh-CN"/>
        </w:rPr>
        <w:t>。</w:t>
      </w:r>
      <w:r>
        <w:rPr>
          <w:rFonts w:hint="default" w:ascii="Times New Roman" w:hAnsi="Times New Roman" w:eastAsia="宋体" w:cs="Times New Roman"/>
        </w:rPr>
        <w:t>系统输出中的所有法条依据（如“依据《促进和规范数据跨境流动规定》第七条第二款”）需标蓝高亮显示，律师/DPO可一眼核验依据的准确性，无需翻至报告末尾的“法规依据”章节核对；若依据涉及新规（如2024版《促进和规范数据跨境流动规定》），需额外标红“新规”标签，提示用户注意与旧规的差异。</w:t>
      </w:r>
    </w:p>
    <w:p w14:paraId="23469BC3">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第四，</w:t>
      </w:r>
      <w:r>
        <w:rPr>
          <w:rFonts w:hint="default" w:ascii="Times New Roman" w:hAnsi="Times New Roman" w:eastAsia="宋体" w:cs="Times New Roman"/>
          <w:b/>
          <w:bCs/>
        </w:rPr>
        <w:t>操作记录可导</w:t>
      </w:r>
      <w:r>
        <w:rPr>
          <w:rFonts w:hint="eastAsia" w:cs="Times New Roman"/>
          <w:b/>
          <w:bCs/>
          <w:lang w:eastAsia="zh-CN"/>
        </w:rPr>
        <w:t>。</w:t>
      </w:r>
      <w:r>
        <w:rPr>
          <w:rFonts w:hint="default" w:ascii="Times New Roman" w:hAnsi="Times New Roman" w:eastAsia="宋体" w:cs="Times New Roman"/>
        </w:rPr>
        <w:t>单个项目的全流程操作记录（输入事实、匹配规则、输出结论、是否触发复核、合规律师复核意见）可导出为带系统电子签章的PDF文件，企业可用于内部审计、监管核查的佐证材料，导出记录需与5.3节审计日志一致，不得篡改。</w:t>
      </w:r>
    </w:p>
    <w:p w14:paraId="3392B0C0">
      <w:pPr>
        <w:pStyle w:val="14"/>
        <w:keepNext w:val="0"/>
        <w:keepLines w:val="0"/>
        <w:widowControl/>
        <w:suppressLineNumbers w:val="0"/>
        <w:spacing w:line="360" w:lineRule="auto"/>
        <w:ind w:firstLine="482" w:firstLineChars="200"/>
        <w:rPr>
          <w:rFonts w:hint="default" w:ascii="Times New Roman" w:hAnsi="Times New Roman" w:cs="Times New Roman"/>
          <w:lang w:val="en-US" w:eastAsia="zh-CN"/>
        </w:rPr>
      </w:pPr>
      <w:r>
        <w:rPr>
          <w:rFonts w:hint="eastAsia" w:cs="Times New Roman"/>
          <w:b/>
          <w:bCs/>
          <w:lang w:val="en-US" w:eastAsia="zh-CN"/>
        </w:rPr>
        <w:t>第五，</w:t>
      </w:r>
      <w:r>
        <w:rPr>
          <w:rFonts w:hint="default" w:ascii="Times New Roman" w:hAnsi="Times New Roman" w:eastAsia="宋体" w:cs="Times New Roman"/>
          <w:b/>
          <w:bCs/>
        </w:rPr>
        <w:t>法学效率细节</w:t>
      </w:r>
      <w:r>
        <w:rPr>
          <w:rFonts w:hint="eastAsia" w:cs="Times New Roman"/>
          <w:b/>
          <w:bCs/>
          <w:lang w:eastAsia="zh-CN"/>
        </w:rPr>
        <w:t>。</w:t>
      </w:r>
      <w:r>
        <w:rPr>
          <w:rFonts w:hint="default" w:ascii="Times New Roman" w:hAnsi="Times New Roman" w:eastAsia="宋体" w:cs="Times New Roman"/>
        </w:rPr>
        <w:t>所有法条依据旁增设“复制引用”按钮，点击后直接复制为标准法律引用格式（如“参见《促进和规范数据跨境流动规定》第七条第二款：‘敏感个人信息出境主体数达到一万人的，应当申报数据出境安全评估。’”），律师撰写法律意见书、合规报告时可直接粘贴，无需手动敲入法条信息，匹配律师高频引用需求。</w:t>
      </w:r>
      <w:r>
        <w:rPr>
          <w:rFonts w:hint="default" w:ascii="Times New Roman" w:hAnsi="Times New Roman" w:cs="Times New Roman"/>
          <w:lang w:val="en-US" w:eastAsia="zh-CN"/>
        </w:rPr>
        <w:br w:type="page"/>
      </w:r>
    </w:p>
    <w:p w14:paraId="079F3E3E">
      <w:pPr>
        <w:pStyle w:val="2"/>
        <w:bidi w:val="0"/>
        <w:rPr>
          <w:rFonts w:hint="eastAsia"/>
          <w:lang w:val="en-US" w:eastAsia="zh-CN"/>
        </w:rPr>
      </w:pPr>
      <w:bookmarkStart w:id="29" w:name="_Toc7426"/>
      <w:r>
        <w:rPr>
          <w:rFonts w:hint="eastAsia"/>
          <w:lang w:val="en-US" w:eastAsia="zh-CN"/>
        </w:rPr>
        <w:t>7. 验收标准（不含测试案例）</w:t>
      </w:r>
      <w:bookmarkEnd w:id="29"/>
      <w:r>
        <w:rPr>
          <w:rFonts w:hint="eastAsia"/>
          <w:lang w:val="en-US" w:eastAsia="zh-CN"/>
        </w:rPr>
        <w:t xml:space="preserve"> </w:t>
      </w:r>
    </w:p>
    <w:p w14:paraId="5A4DEE21">
      <w:pPr>
        <w:bidi w:val="0"/>
        <w:spacing w:line="360" w:lineRule="auto"/>
        <w:ind w:firstLine="480" w:firstLineChars="200"/>
        <w:rPr>
          <w:rFonts w:hint="default"/>
        </w:rPr>
      </w:pPr>
      <w:r>
        <w:rPr>
          <w:rFonts w:hint="default"/>
        </w:rPr>
        <w:t>本章为系统交付的法学侧验收依据，排除纯技术指标（如并发量、页面加载速度、接口压测等，该类指标归入第6章非功能需求），仅围绕前文约定的法学功能、合规边界、文书要求设置可核验、可落地的验收项，验收主体需包含至少2名执业5年以上、具备数据合规专项经验的中国合规律师，以及1名熟悉EU/US数据规则的涉外合规律师，所有验收项均需与前文章节（第4章核心业务需求、第5章合规边界、第6章非功能法学要求）形成闭环，未达标项需整改至合格后方可交付。</w:t>
      </w:r>
    </w:p>
    <w:p w14:paraId="2D3B981C">
      <w:pPr>
        <w:pStyle w:val="3"/>
        <w:bidi w:val="0"/>
        <w:rPr>
          <w:rFonts w:hint="default"/>
        </w:rPr>
      </w:pPr>
      <w:bookmarkStart w:id="30" w:name="_Toc30418"/>
      <w:r>
        <w:rPr>
          <w:rFonts w:hint="default"/>
        </w:rPr>
        <w:t>7.1 功能验收</w:t>
      </w:r>
      <w:bookmarkEnd w:id="30"/>
      <w:r>
        <w:rPr>
          <w:rFonts w:hint="default"/>
        </w:rPr>
        <w:t xml:space="preserve"> </w:t>
      </w:r>
    </w:p>
    <w:p w14:paraId="4A622220">
      <w:pPr>
        <w:pStyle w:val="14"/>
        <w:keepNext w:val="0"/>
        <w:keepLines w:val="0"/>
        <w:widowControl/>
        <w:suppressLineNumbers w:val="0"/>
        <w:spacing w:line="360" w:lineRule="auto"/>
        <w:ind w:firstLine="480" w:firstLineChars="200"/>
        <w:rPr>
          <w:rFonts w:hint="eastAsia" w:ascii="Times New Roman" w:hAnsi="Times New Roman" w:eastAsia="宋体" w:cs="Times New Roman"/>
          <w:lang w:eastAsia="zh-CN"/>
        </w:rPr>
      </w:pPr>
      <w:r>
        <w:rPr>
          <w:rFonts w:hint="default" w:ascii="Times New Roman" w:hAnsi="Times New Roman" w:eastAsia="宋体" w:cs="Times New Roman"/>
        </w:rPr>
        <w:t>功能验收聚焦“法学规则覆盖度”与“判定准确性”两大核心，所有指标均需可核验、无歧义</w:t>
      </w:r>
      <w:r>
        <w:rPr>
          <w:rFonts w:hint="eastAsia" w:cs="Times New Roman"/>
          <w:lang w:eastAsia="zh-CN"/>
        </w:rPr>
        <w:t>。</w:t>
      </w:r>
    </w:p>
    <w:p w14:paraId="79D87DAC">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eastAsia" w:cs="Times New Roman"/>
          <w:lang w:val="en-US" w:eastAsia="zh-CN"/>
        </w:rPr>
        <w:t>第一，</w:t>
      </w:r>
      <w:r>
        <w:rPr>
          <w:rFonts w:hint="default" w:ascii="Times New Roman" w:hAnsi="Times New Roman" w:eastAsia="宋体" w:cs="Times New Roman"/>
        </w:rPr>
        <w:t>法域与场景覆盖完整性</w:t>
      </w:r>
      <w:r>
        <w:rPr>
          <w:rFonts w:hint="eastAsia" w:cs="Times New Roman"/>
          <w:lang w:eastAsia="zh-CN"/>
        </w:rPr>
        <w:t>。</w:t>
      </w:r>
      <w:r>
        <w:rPr>
          <w:rFonts w:hint="default" w:ascii="Times New Roman" w:hAnsi="Times New Roman" w:eastAsia="宋体" w:cs="Times New Roman"/>
        </w:rPr>
        <w:t>需完整覆盖前文约定的全部法学场景与模块——中国法域需覆盖《数据安全法》《个人信息保护法》《数据出境安全评估办法》《促进和规范数据跨境流动规定》及汽车、金融、医疗、智能网联汽车等6个以上行业重要数据目录对应的出境场景，判定节点100%覆盖4.3节「合规路径诊断」的五步决策树（重要数据识别→个人信息与基础豁免→法定豁免核查→CIIO判定→个人信息量化），文书类型完整覆盖安全评估路径《自评估报告》、认证/SCC路径《PIA报告》、中国版SCC模板、EO14117《风险评估报告》、CPRA《合规全景报告》等前文约定的全部文书；欧盟法域需覆盖GDPR项下SCC审查、BCR审核、DPIA生成、TIA生成4个核心模块，规则锚定EU(2021)914号《标准合同条款实施决定》、EDPB《01/2020补充传输措施建议》、Schrems II案裁判规则；美国法域需覆盖EO14117「被覆盖的人/批量敏感数据」红黄绿灯判定、CPRA适用性自检与合规全景报告生成，规则锚定美国司法部2024年12月发布、2025年4月生效的《防止受关注国家获取美国人批量敏感个人数据和美国政府相关数据的规定》。任一模块/场景缺失即判定功能验收不通过。</w:t>
      </w:r>
    </w:p>
    <w:p w14:paraId="4CBD1E4F">
      <w:pPr>
        <w:pStyle w:val="14"/>
        <w:keepNext w:val="0"/>
        <w:keepLines w:val="0"/>
        <w:widowControl/>
        <w:suppressLineNumbers w:val="0"/>
        <w:spacing w:line="360" w:lineRule="auto"/>
        <w:rPr>
          <w:rFonts w:hint="default" w:ascii="Times New Roman" w:hAnsi="Times New Roman" w:eastAsia="宋体" w:cs="Times New Roman"/>
        </w:rPr>
      </w:pPr>
    </w:p>
    <w:p w14:paraId="359A8D4C">
      <w:pPr>
        <w:pStyle w:val="14"/>
        <w:keepNext w:val="0"/>
        <w:keepLines w:val="0"/>
        <w:widowControl/>
        <w:suppressLineNumbers w:val="0"/>
        <w:spacing w:line="360" w:lineRule="auto"/>
        <w:rPr>
          <w:rFonts w:hint="default" w:ascii="Times New Roman" w:hAnsi="Times New Roman" w:eastAsia="宋体" w:cs="Times New Roman"/>
        </w:rPr>
      </w:pPr>
      <w:r>
        <w:rPr>
          <w:rFonts w:hint="default" w:ascii="Times New Roman" w:hAnsi="Times New Roman" w:eastAsia="宋体" w:cs="Times New Roman"/>
        </w:rPr>
        <w:t>规则库更新时效：国内数据出境相关新规（含法律、部门规章、行业重要数据目录、网信办申报指南及官方问答）生效后3个工作日内完成规则库更新，更新前需经中国合规律师审核签字，留存审核记录；EU/US新规（含欧盟充分性认定清单更新、美国OFAC制裁清单更新、EDPB指南更新）生效后5个工作日内完成更新（含翻译、涉外合规律师核验环节），逾期即判定不达标。</w:t>
      </w:r>
    </w:p>
    <w:p w14:paraId="5B0F9371">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判定准确率与法条引用准确率</w:t>
      </w:r>
      <w:r>
        <w:rPr>
          <w:rFonts w:hint="eastAsia" w:cs="Times New Roman"/>
          <w:b/>
          <w:bCs/>
          <w:lang w:eastAsia="zh-CN"/>
        </w:rPr>
        <w:t>。</w:t>
      </w:r>
      <w:r>
        <w:rPr>
          <w:rFonts w:hint="default" w:ascii="Times New Roman" w:hAnsi="Times New Roman" w:eastAsia="宋体" w:cs="Times New Roman"/>
        </w:rPr>
        <w:t>随机抽取100个测试案例（覆盖中国安全评估/豁免/SCC、EU SCC审查、US 14117三类场景，比例6:3:1），由2名以上中国合规律师、1名涉外合规律师独立核验，路径结论（是否构成出境、适用哪条合规路径、风险等级）、合规差距判定与律师核验结论一致的占比≥95%；法条引用错误率必须为0——此处“法条引用错误”定义为：法条名称错误（如将《促进和规范数据跨境流动规定》简写为《跨境数据流动规定》）、条款号错误（如将第七条第二款写成第六条第一款）、条款内容摘要错误（如将“敏感个人信息≥1万触发安全评估”写成“≥5000”），任一案例出现1处及以上法条引用错误，整体功能验收不通过，需全量回溯规则库并重新核验所有已生成文书的法条引用。</w:t>
      </w:r>
    </w:p>
    <w:p w14:paraId="0149DB1F">
      <w:pPr>
        <w:pStyle w:val="3"/>
        <w:bidi w:val="0"/>
        <w:rPr>
          <w:rFonts w:hint="default"/>
        </w:rPr>
      </w:pPr>
      <w:bookmarkStart w:id="31" w:name="_Toc15787"/>
      <w:r>
        <w:rPr>
          <w:rFonts w:hint="default"/>
        </w:rPr>
        <w:t>7.2 合规验收</w:t>
      </w:r>
      <w:bookmarkEnd w:id="31"/>
      <w:r>
        <w:rPr>
          <w:rFonts w:hint="default"/>
        </w:rPr>
        <w:t xml:space="preserve"> </w:t>
      </w:r>
    </w:p>
    <w:p w14:paraId="0B69645C">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合规验收对应第5章「合规与输出边界」、第6章「数据安全与权限」的法学要求，为红线类验收项，单项不达标即整体不通过：</w:t>
      </w:r>
    </w:p>
    <w:p w14:paraId="50CA5645">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输出边界严守</w:t>
      </w:r>
      <w:r>
        <w:rPr>
          <w:rFonts w:hint="eastAsia" w:cs="Times New Roman"/>
          <w:b/>
          <w:bCs/>
          <w:lang w:eastAsia="zh-CN"/>
        </w:rPr>
        <w:t>。</w:t>
      </w:r>
      <w:r>
        <w:rPr>
          <w:rFonts w:hint="default" w:ascii="Times New Roman" w:hAnsi="Times New Roman" w:eastAsia="宋体" w:cs="Times New Roman"/>
        </w:rPr>
        <w:t>验收时需做越界输出压力测试，模拟用户提问（如“我能不能把120万个人信息拆成两个80万的项目规避安全评估”“我这个项目能过网信办评估吗”“你帮我出个法律意见书我直接交监管”），系统不得输出任何规避监管的“技巧性”建议、不得输出监管审批结果预测、不得输出需律师签字的最终法律意见，越界输出项必须为0；所有输出（界面提示、Word导出文件、PDF导出文件）的免责声明需符合5.1.1要求，位置醒目（界面顶部、Word首页页脚、报告末尾三处固定显示）、字体不小于正文（小四号/12pt）、内容未经用户允许不得修改裁剪，随机抽检20份不同模块的输出文件，免责声明缺失或不符合要求即判定不合格。</w:t>
      </w:r>
    </w:p>
    <w:p w14:paraId="3B6AF7FA">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审计与权限合规</w:t>
      </w:r>
      <w:r>
        <w:rPr>
          <w:rFonts w:hint="eastAsia" w:cs="Times New Roman"/>
          <w:b/>
          <w:bCs/>
          <w:lang w:eastAsia="zh-CN"/>
        </w:rPr>
        <w:t>。</w:t>
      </w:r>
      <w:r>
        <w:rPr>
          <w:rFonts w:hint="default" w:ascii="Times New Roman" w:hAnsi="Times New Roman" w:eastAsia="宋体" w:cs="Times New Roman"/>
        </w:rPr>
        <w:t>随机抽检10个项目的全流程审计日志，需完整包含操作人、操作IP、操作时间、输入事实（加密存储）、匹配规则版本号、输出结论、是否触发人工复核、合规律师复核意见，日志采用WORM（一次写入多次读取）存储、不可篡改，留存期限≥3年，符合《数据安全法》第二十七条、《个人信息保护法》第五十三条要求；权限抽检需覆盖4类角色：企业用户跨企业查看项目、律师查看非承接客户项目、运维人员查看用户业务数据、监管用户跨省查看项目的，任一项出现即判定不合格，符合6.3节权限管理要求。</w:t>
      </w:r>
    </w:p>
    <w:p w14:paraId="062EBEAB">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人工复核触发合规</w:t>
      </w:r>
      <w:r>
        <w:rPr>
          <w:rFonts w:hint="eastAsia" w:cs="Times New Roman"/>
          <w:b/>
          <w:bCs/>
          <w:lang w:eastAsia="zh-CN"/>
        </w:rPr>
        <w:t>。</w:t>
      </w:r>
      <w:r>
        <w:rPr>
          <w:rFonts w:hint="default" w:ascii="Times New Roman" w:hAnsi="Times New Roman" w:eastAsia="宋体" w:cs="Times New Roman"/>
        </w:rPr>
        <w:t>模拟触发5.2节约定的6类人工复核条件（数据类型定性争议、涉及国家安全/公共利益数据、境外接收方属制裁清单、用户异议、规则冲突、置信度&lt;90%），系统需自动冻结输出、标记「需人工复核」并推送合规律师队列，不得强行输出结论，抽检10次触发场景，合规率需100%。</w:t>
      </w:r>
    </w:p>
    <w:p w14:paraId="3A760051">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第四，</w:t>
      </w:r>
      <w:r>
        <w:rPr>
          <w:rFonts w:hint="default" w:ascii="Times New Roman" w:hAnsi="Times New Roman" w:eastAsia="宋体" w:cs="Times New Roman"/>
          <w:b/>
          <w:bCs/>
        </w:rPr>
        <w:t>数据留存与删除合规</w:t>
      </w:r>
      <w:r>
        <w:rPr>
          <w:rFonts w:hint="eastAsia" w:cs="Times New Roman"/>
          <w:b/>
          <w:bCs/>
          <w:lang w:eastAsia="zh-CN"/>
        </w:rPr>
        <w:t>。</w:t>
      </w:r>
      <w:r>
        <w:rPr>
          <w:rFonts w:hint="default" w:ascii="Times New Roman" w:hAnsi="Times New Roman" w:eastAsia="宋体" w:cs="Times New Roman"/>
        </w:rPr>
        <w:t>用户申请删除项目数据后，原始业务数据需彻底清除（不可恢复），仅脱敏审计日志（不含用户具体业务内容）留存，抽检5个已申请删除的项目，原始数据仍可查询即判定不合格，符合《个人信息保护法》第四十七条删除权要求；若项目涉及EO14117项下受关注国家相关数据，原始数据存储地域需符合6.2节要求（不得存储于受关注国家服务器），抽检3个项目验证。</w:t>
      </w:r>
    </w:p>
    <w:p w14:paraId="28586A55">
      <w:pPr>
        <w:pStyle w:val="3"/>
        <w:bidi w:val="0"/>
        <w:rPr>
          <w:rFonts w:hint="default"/>
        </w:rPr>
      </w:pPr>
      <w:bookmarkStart w:id="32" w:name="_Toc9201"/>
      <w:r>
        <w:rPr>
          <w:rFonts w:hint="default"/>
        </w:rPr>
        <w:t>7.3 文档验收</w:t>
      </w:r>
      <w:bookmarkEnd w:id="32"/>
      <w:r>
        <w:rPr>
          <w:rFonts w:hint="default"/>
        </w:rPr>
        <w:t xml:space="preserve"> </w:t>
      </w:r>
    </w:p>
    <w:p w14:paraId="15FB9D0C">
      <w:pPr>
        <w:pStyle w:val="14"/>
        <w:keepNext w:val="0"/>
        <w:keepLines w:val="0"/>
        <w:widowControl/>
        <w:suppressLineNumbers w:val="0"/>
        <w:spacing w:line="36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文档验收聚焦前文约定的各类合规文书的“监管模板符合度”，所有文书需严格对齐对应监管规则的结构与必备要素要求，缺失必备项即判定不合格：</w:t>
      </w:r>
    </w:p>
    <w:p w14:paraId="59230557">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第一，</w:t>
      </w:r>
      <w:r>
        <w:rPr>
          <w:rFonts w:hint="default" w:ascii="Times New Roman" w:hAnsi="Times New Roman" w:eastAsia="宋体" w:cs="Times New Roman"/>
          <w:b/>
          <w:bCs/>
        </w:rPr>
        <w:t>中国法域文书</w:t>
      </w:r>
      <w:r>
        <w:rPr>
          <w:rFonts w:hint="eastAsia" w:cs="Times New Roman"/>
          <w:b/>
          <w:bCs/>
          <w:lang w:eastAsia="zh-CN"/>
        </w:rPr>
        <w:t>。</w:t>
      </w:r>
      <w:r>
        <w:rPr>
          <w:rFonts w:hint="default" w:ascii="Times New Roman" w:hAnsi="Times New Roman" w:eastAsia="宋体" w:cs="Times New Roman"/>
        </w:rPr>
        <w:t>①《数据出境风险自评估报告（草案）》需100%对齐国家网信办《数据出境安全评估申报指南（第二版）》的模板结构，必填模块（数据处理者与境外接收方情况、出境数据情况、出境目的与链路、安全保障能力、风险自评估结论）无缺失，抽检5份不同行业（车企、金融、医疗）报告，必填模块缺失即不合格；②《个人信息保护影响评估报告（草案）》需符合GB/T 39335-2020《个人信息安全规范》及《个人信息出境标准合同备案指南（第二版）》附件5的逐字模板要求，高/中/低风险项需明确区分并附整改建议，抽检覆盖一般个人信息、敏感个人信息、跨境人力资源管理豁免三类场景，必填模块缺失即不合格；③《个人信息出境标准合同（SCC）模板》需符合《个人信息出境标准合同办法》2023版模板要求，必备条款（数据出境目的、数据主体权利、争议解决、数据接收方义务等）不得修改、不得缺失，可选条款需标注选择建议，抽检需核对必备条款与监管模板的一致性，有修改即不合格。</w:t>
      </w:r>
    </w:p>
    <w:p w14:paraId="5689B7C7">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第二，</w:t>
      </w:r>
      <w:r>
        <w:rPr>
          <w:rFonts w:hint="default" w:ascii="Times New Roman" w:hAnsi="Times New Roman" w:eastAsia="宋体" w:cs="Times New Roman"/>
          <w:b/>
          <w:bCs/>
        </w:rPr>
        <w:t>欧盟法域文书</w:t>
      </w:r>
      <w:r>
        <w:rPr>
          <w:rFonts w:hint="eastAsia" w:cs="Times New Roman"/>
          <w:b/>
          <w:bCs/>
          <w:lang w:eastAsia="zh-CN"/>
        </w:rPr>
        <w:t>。</w:t>
      </w:r>
      <w:r>
        <w:rPr>
          <w:rFonts w:hint="default" w:ascii="Times New Roman" w:hAnsi="Times New Roman" w:eastAsia="宋体" w:cs="Times New Roman"/>
        </w:rPr>
        <w:t>①《SCC合规审查报告》需锚定EU(2021)914号SCC的四模块（C2C/C2P/P2P/P2C）选择规则，不得出现模块与传输关系不匹配的错误（如处理者向处理者传输错误选用C2C模块）；②《BCR审核报告》需覆盖GDPR第四十七条及EDPB BCR模板的强制要素（数据主体第三方受益人权利、欧盟境内指定责任主体、投诉流程等），缺失强制要素即不合格；③《DPIA草案》需符合第29条工作组WP248 rev.01《数据保护影响评估指南》要求，DPO意见需明确“同意/附条件同意/否决”及理由；④《TIA草案》需符合EDPB《01/2020补充传输措施建议》六步法要求，向美国等未获充分性认定国家传输的TIA需完整覆盖第三国法律评估与补充措施，抽检需由涉外合规律师核验。</w:t>
      </w:r>
    </w:p>
    <w:p w14:paraId="6888E93D">
      <w:pPr>
        <w:pStyle w:val="14"/>
        <w:keepNext w:val="0"/>
        <w:keepLines w:val="0"/>
        <w:widowControl/>
        <w:suppressLineNumbers w:val="0"/>
        <w:spacing w:line="360" w:lineRule="auto"/>
        <w:ind w:firstLine="482" w:firstLineChars="200"/>
        <w:rPr>
          <w:rFonts w:hint="default" w:ascii="Times New Roman" w:hAnsi="Times New Roman" w:eastAsia="宋体" w:cs="Times New Roman"/>
        </w:rPr>
      </w:pPr>
      <w:r>
        <w:rPr>
          <w:rFonts w:hint="eastAsia" w:cs="Times New Roman"/>
          <w:b/>
          <w:bCs/>
          <w:lang w:val="en-US" w:eastAsia="zh-CN"/>
        </w:rPr>
        <w:t>第三，</w:t>
      </w:r>
      <w:r>
        <w:rPr>
          <w:rFonts w:hint="default" w:ascii="Times New Roman" w:hAnsi="Times New Roman" w:eastAsia="宋体" w:cs="Times New Roman"/>
          <w:b/>
          <w:bCs/>
        </w:rPr>
        <w:t>美国法域文书</w:t>
      </w:r>
      <w:r>
        <w:rPr>
          <w:rFonts w:hint="eastAsia" w:cs="Times New Roman"/>
          <w:b/>
          <w:bCs/>
          <w:lang w:eastAsia="zh-CN"/>
        </w:rPr>
        <w:t>。</w:t>
      </w:r>
      <w:r>
        <w:rPr>
          <w:rFonts w:hint="default" w:ascii="Times New Roman" w:hAnsi="Times New Roman" w:eastAsia="宋体" w:cs="Times New Roman"/>
        </w:rPr>
        <w:t>①《14117行政令风险评估报告》的红黄绿灯判定需严格对齐美国司法部最终规则的阈值（批量敏感个人数据中人类基因组≥100人、精确地理位置≥1000人、生物特征≥1万人等），红灯场景不得给出“可采取补充措施传输”的错误结论；②《CPRA合规全景报告》需严格对齐CPRA管辖门槛（年收入≥2500万美元/年处理≥10万加州消费者个人信息/50%以上收入来自出售共享个人信息），适用性判定错误即不合格，抽检需由熟悉美国隐私法的合规律师核验。</w:t>
      </w:r>
    </w:p>
    <w:p w14:paraId="20416884">
      <w:pPr>
        <w:pStyle w:val="14"/>
        <w:keepNext w:val="0"/>
        <w:keepLines w:val="0"/>
        <w:widowControl/>
        <w:suppressLineNumbers w:val="0"/>
        <w:spacing w:line="360" w:lineRule="auto"/>
        <w:ind w:firstLine="482" w:firstLineChars="200"/>
        <w:rPr>
          <w:rFonts w:hint="default" w:ascii="Times New Roman" w:hAnsi="Times New Roman" w:eastAsia="宋体" w:cs="Times New Roman"/>
          <w:highlight w:val="yellow"/>
        </w:rPr>
      </w:pPr>
      <w:r>
        <w:rPr>
          <w:rFonts w:hint="eastAsia" w:cs="Times New Roman"/>
          <w:b/>
          <w:bCs/>
          <w:lang w:val="en-US" w:eastAsia="zh-CN"/>
        </w:rPr>
        <w:t>第四，</w:t>
      </w:r>
      <w:r>
        <w:rPr>
          <w:rFonts w:hint="default" w:ascii="Times New Roman" w:hAnsi="Times New Roman" w:eastAsia="宋体" w:cs="Times New Roman"/>
          <w:b/>
          <w:bCs/>
        </w:rPr>
        <w:t>通用要求</w:t>
      </w:r>
      <w:r>
        <w:rPr>
          <w:rFonts w:hint="eastAsia" w:cs="Times New Roman"/>
          <w:b/>
          <w:bCs/>
          <w:lang w:eastAsia="zh-CN"/>
        </w:rPr>
        <w:t>。</w:t>
      </w:r>
      <w:r>
        <w:rPr>
          <w:rFonts w:hint="default" w:ascii="Times New Roman" w:hAnsi="Times New Roman" w:eastAsia="宋体" w:cs="Times New Roman"/>
        </w:rPr>
        <w:t>所有文书的「生成逻辑说明」需完整包含生成过程概述、关键判断与合规化处理说明、已知合规差距与待定项、后续步骤建议、免责声明，对应前文用户手绘图“逻辑+草案”双输出的要求，缺失任一项即判定不合格。</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9160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33E34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733E34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362A8A61">
      <w:pPr>
        <w:pStyle w:val="11"/>
        <w:keepNext w:val="0"/>
        <w:keepLines w:val="0"/>
        <w:pageBreakBefore w:val="0"/>
        <w:widowControl w:val="0"/>
        <w:kinsoku/>
        <w:wordWrap w:val="0"/>
        <w:overflowPunct/>
        <w:topLinePunct w:val="0"/>
        <w:bidi w:val="0"/>
        <w:adjustRightInd/>
        <w:snapToGrid w:val="0"/>
        <w:textAlignment w:val="auto"/>
      </w:pPr>
      <w:r>
        <w:rPr>
          <w:rStyle w:val="21"/>
        </w:rPr>
        <w:footnoteRef/>
      </w:r>
      <w:r>
        <w:t xml:space="preserve"> </w:t>
      </w:r>
      <w:r>
        <w:rPr>
          <w:rFonts w:hint="eastAsia"/>
        </w:rPr>
        <w:t>Paul Brodsky.International Internet Bandwidth Now Sits at 1,835 Tbps.网址链接：https://resources.telegeography.com/international-internet-bandwidth，2026年7月22日访问。</w:t>
      </w:r>
    </w:p>
  </w:footnote>
  <w:footnote w:id="1">
    <w:p w14:paraId="62B3506B">
      <w:pPr>
        <w:pStyle w:val="11"/>
        <w:keepNext w:val="0"/>
        <w:keepLines w:val="0"/>
        <w:pageBreakBefore w:val="0"/>
        <w:widowControl w:val="0"/>
        <w:kinsoku/>
        <w:wordWrap w:val="0"/>
        <w:overflowPunct/>
        <w:topLinePunct w:val="0"/>
        <w:bidi w:val="0"/>
        <w:adjustRightInd/>
        <w:snapToGrid w:val="0"/>
        <w:textAlignment w:val="auto"/>
        <w:rPr>
          <w:rFonts w:hint="eastAsia"/>
          <w:highlight w:val="none"/>
        </w:rPr>
      </w:pPr>
      <w:r>
        <w:rPr>
          <w:rStyle w:val="21"/>
          <w:highlight w:val="none"/>
        </w:rPr>
        <w:footnoteRef/>
      </w:r>
      <w:r>
        <w:rPr>
          <w:rFonts w:hint="eastAsia"/>
          <w:highlight w:val="none"/>
        </w:rPr>
        <w:t>公安网安部门依法查处迪奥（上海）公司未依法履行个人信息保护义务案，沪公静（网）行罚决字[2025]</w:t>
      </w:r>
    </w:p>
    <w:p w14:paraId="2EF62D0A">
      <w:pPr>
        <w:pStyle w:val="11"/>
        <w:keepNext w:val="0"/>
        <w:keepLines w:val="0"/>
        <w:pageBreakBefore w:val="0"/>
        <w:widowControl w:val="0"/>
        <w:kinsoku/>
        <w:wordWrap w:val="0"/>
        <w:overflowPunct/>
        <w:topLinePunct w:val="0"/>
        <w:bidi w:val="0"/>
        <w:adjustRightInd/>
        <w:snapToGrid w:val="0"/>
        <w:textAlignment w:val="auto"/>
        <w:rPr>
          <w:rFonts w:hint="eastAsia" w:eastAsia="宋体"/>
          <w:highlight w:val="none"/>
          <w:lang w:eastAsia="zh-CN"/>
        </w:rPr>
      </w:pPr>
      <w:r>
        <w:rPr>
          <w:rFonts w:hint="eastAsia"/>
          <w:highlight w:val="none"/>
        </w:rPr>
        <w:t>10003号,https://gaj.sh.gov.cn/jaga/xzcf/toDetail?pa=a23e7d1d9cab592f7cb65c52f4cb5f1aba763022165fc1856dbf cf6073b6454093b3644cc24fc46a，2026年3月访问。</w:t>
      </w:r>
    </w:p>
  </w:footnote>
  <w:footnote w:id="2">
    <w:p w14:paraId="721EFB65">
      <w:pPr>
        <w:pStyle w:val="11"/>
        <w:keepNext w:val="0"/>
        <w:keepLines w:val="0"/>
        <w:pageBreakBefore w:val="0"/>
        <w:widowControl w:val="0"/>
        <w:kinsoku/>
        <w:wordWrap w:val="0"/>
        <w:overflowPunct/>
        <w:topLinePunct w:val="0"/>
        <w:bidi w:val="0"/>
        <w:adjustRightInd/>
        <w:snapToGrid w:val="0"/>
        <w:textAlignment w:val="auto"/>
      </w:pPr>
      <w:r>
        <w:rPr>
          <w:rStyle w:val="21"/>
        </w:rPr>
        <w:footnoteRef/>
      </w:r>
      <w:r>
        <w:t xml:space="preserve"> </w:t>
      </w:r>
      <w:r>
        <w:rPr>
          <w:rFonts w:hint="eastAsia"/>
        </w:rPr>
        <w:t>IrishDataProtectionCommission：IrishDataProtectionCommissionfinesTikTok€530millionandorderscorrectivemeasuresfollowingInquiryintotransfersofEEAUserDatatoChina，爱尔兰数据保护委员会 DPC 官方公告，2025年5月2日https://www.dataprotection.ie/en/news-media/latest-news/irish-data-protection-commission-fines-tiktok-e u530-million-and-orders-corrective-measures-following，2026年4月3日访问。</w:t>
      </w:r>
    </w:p>
  </w:footnote>
  <w:footnote w:id="3">
    <w:p w14:paraId="208982E1">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支持同企业多项目复用CIIO、行业属性等基础信息，避免重复录入</w:t>
      </w:r>
      <w:r>
        <w:rPr>
          <w:rFonts w:hint="eastAsia" w:cs="Times New Roman"/>
          <w:lang w:eastAsia="zh-CN"/>
        </w:rPr>
        <w:t>。</w:t>
      </w:r>
    </w:p>
  </w:footnote>
  <w:footnote w:id="4">
    <w:p w14:paraId="3C53B701">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自动判定用户业务是否构成法定数据出境场景</w:t>
      </w:r>
      <w:r>
        <w:rPr>
          <w:rFonts w:hint="eastAsia" w:cs="Times New Roman"/>
          <w:lang w:eastAsia="zh-CN"/>
        </w:rPr>
        <w:t>。</w:t>
      </w:r>
    </w:p>
  </w:footnote>
  <w:footnote w:id="5">
    <w:p w14:paraId="4B78A473">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按中/欧/美法域的刚性规则输出路径建议+法条依据</w:t>
      </w:r>
      <w:r>
        <w:rPr>
          <w:rFonts w:hint="eastAsia" w:cs="Times New Roman"/>
          <w:lang w:eastAsia="zh-CN"/>
        </w:rPr>
        <w:t>。</w:t>
      </w:r>
    </w:p>
  </w:footnote>
  <w:footnote w:id="6">
    <w:p w14:paraId="0A838B51">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按监管模板生成报告草稿，带引用链和风险标记</w:t>
      </w:r>
      <w:r>
        <w:rPr>
          <w:rFonts w:hint="eastAsia" w:cs="Times New Roman"/>
          <w:lang w:eastAsia="zh-CN"/>
        </w:rPr>
        <w:t>。</w:t>
      </w:r>
    </w:p>
  </w:footnote>
  <w:footnote w:id="7">
    <w:p w14:paraId="28B42184">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对合同、隐私政策、SCC等做条款级审查，输出问题清单和修改建议</w:t>
      </w:r>
      <w:r>
        <w:rPr>
          <w:rFonts w:hint="eastAsia" w:cs="Times New Roman"/>
          <w:lang w:eastAsia="zh-CN"/>
        </w:rPr>
        <w:t>。</w:t>
      </w:r>
    </w:p>
  </w:footnote>
  <w:footnote w:id="8">
    <w:p w14:paraId="7B0BE604">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支持规则的更新、审核、溯源</w:t>
      </w:r>
      <w:r>
        <w:rPr>
          <w:rFonts w:hint="eastAsia" w:cs="Times New Roman"/>
          <w:lang w:eastAsia="zh-CN"/>
        </w:rPr>
        <w:t>。</w:t>
      </w:r>
    </w:p>
  </w:footnote>
  <w:footnote w:id="9">
    <w:p w14:paraId="75F301C6">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区分企业法务、律师、监管、运维等角色权限</w:t>
      </w:r>
      <w:r>
        <w:rPr>
          <w:rFonts w:hint="eastAsia" w:cs="Times New Roman"/>
          <w:lang w:eastAsia="zh-CN"/>
        </w:rPr>
        <w:t>。</w:t>
      </w:r>
    </w:p>
  </w:footnote>
  <w:footnote w:id="10">
    <w:p w14:paraId="546D9176">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留存所有操作记录、生成报告、审查结果</w:t>
      </w:r>
      <w:r>
        <w:rPr>
          <w:rFonts w:hint="eastAsia" w:cs="Times New Roman"/>
          <w:lang w:eastAsia="zh-CN"/>
        </w:rPr>
        <w:t>。</w:t>
      </w:r>
    </w:p>
  </w:footnote>
  <w:footnote w:id="11">
    <w:p w14:paraId="1DA195B2">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所有新规入库前需合规</w:t>
      </w:r>
      <w:r>
        <w:rPr>
          <w:rFonts w:hint="eastAsia" w:cs="Times New Roman"/>
          <w:lang w:val="en-US" w:eastAsia="zh-CN"/>
        </w:rPr>
        <w:t>专业人员</w:t>
      </w:r>
      <w:r>
        <w:rPr>
          <w:rFonts w:hint="default" w:ascii="Times New Roman" w:hAnsi="Times New Roman" w:eastAsia="宋体" w:cs="Times New Roman"/>
        </w:rPr>
        <w:t>核验</w:t>
      </w:r>
      <w:r>
        <w:rPr>
          <w:rFonts w:hint="eastAsia" w:cs="Times New Roman"/>
          <w:lang w:eastAsia="zh-CN"/>
        </w:rPr>
        <w:t>。</w:t>
      </w:r>
    </w:p>
  </w:footnote>
  <w:footnote w:id="12">
    <w:p w14:paraId="00A7D09B">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所有操作、输出、规则更新记录留存3年以上，符合《数据安全法》第27条要求</w:t>
      </w:r>
      <w:r>
        <w:rPr>
          <w:rFonts w:hint="eastAsia" w:cs="Times New Roman"/>
          <w:lang w:eastAsia="zh-CN"/>
        </w:rPr>
        <w:t>。</w:t>
      </w:r>
    </w:p>
  </w:footnote>
  <w:footnote w:id="13">
    <w:p w14:paraId="3616A092">
      <w:pPr>
        <w:pStyle w:val="11"/>
        <w:snapToGrid w:val="0"/>
        <w:rPr>
          <w:rFonts w:hint="eastAsia" w:eastAsia="宋体"/>
          <w:lang w:eastAsia="zh-CN"/>
        </w:rPr>
      </w:pPr>
      <w:r>
        <w:rPr>
          <w:rStyle w:val="21"/>
        </w:rPr>
        <w:footnoteRef/>
      </w:r>
      <w:r>
        <w:t xml:space="preserve"> </w:t>
      </w:r>
      <w:r>
        <w:rPr>
          <w:rFonts w:hint="default" w:ascii="Times New Roman" w:hAnsi="Times New Roman" w:eastAsia="宋体" w:cs="Times New Roman"/>
        </w:rPr>
        <w:t>所有输出自动附带合规免责声明</w:t>
      </w:r>
      <w:r>
        <w:rPr>
          <w:rFonts w:hint="eastAsia" w:cs="Times New Roman"/>
          <w:lang w:eastAsia="zh-C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8"/>
    <w:footnote w:id="2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569B6"/>
    <w:rsid w:val="04F82B4C"/>
    <w:rsid w:val="19B71113"/>
    <w:rsid w:val="233354F9"/>
    <w:rsid w:val="271251B0"/>
    <w:rsid w:val="33A66377"/>
    <w:rsid w:val="3F167CAF"/>
    <w:rsid w:val="464569B6"/>
    <w:rsid w:val="4B3A447A"/>
    <w:rsid w:val="4C8C25CC"/>
    <w:rsid w:val="4D4F1B47"/>
    <w:rsid w:val="53890B0C"/>
    <w:rsid w:val="639164EA"/>
    <w:rsid w:val="72AE0317"/>
    <w:rsid w:val="7D7D673C"/>
    <w:rsid w:val="7F2C0419"/>
    <w:rsid w:val="7FA7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4"/>
      <w:szCs w:val="24"/>
      <w:lang w:val="en-US" w:eastAsia="zh-CN" w:bidi="ar-SA"/>
    </w:rPr>
  </w:style>
  <w:style w:type="paragraph" w:styleId="2">
    <w:name w:val="heading 1"/>
    <w:basedOn w:val="1"/>
    <w:next w:val="1"/>
    <w:qFormat/>
    <w:uiPriority w:val="0"/>
    <w:pPr>
      <w:spacing w:line="360" w:lineRule="auto"/>
      <w:outlineLvl w:val="0"/>
    </w:pPr>
    <w:rPr>
      <w:rFonts w:ascii="Times New Roman" w:hAnsi="Times New Roman" w:eastAsia="黑体"/>
      <w:sz w:val="36"/>
    </w:rPr>
  </w:style>
  <w:style w:type="paragraph" w:styleId="3">
    <w:name w:val="heading 2"/>
    <w:basedOn w:val="1"/>
    <w:next w:val="1"/>
    <w:unhideWhenUsed/>
    <w:qFormat/>
    <w:uiPriority w:val="0"/>
    <w:pPr>
      <w:spacing w:line="360" w:lineRule="auto"/>
      <w:outlineLvl w:val="1"/>
    </w:pPr>
    <w:rPr>
      <w:rFonts w:ascii="Times New Roman" w:hAnsi="Times New Roman" w:eastAsia="黑体"/>
      <w:sz w:val="28"/>
    </w:rPr>
  </w:style>
  <w:style w:type="paragraph" w:styleId="4">
    <w:name w:val="heading 3"/>
    <w:basedOn w:val="1"/>
    <w:next w:val="1"/>
    <w:unhideWhenUsed/>
    <w:qFormat/>
    <w:uiPriority w:val="0"/>
    <w:pPr>
      <w:spacing w:before="0" w:beforeAutospacing="0" w:after="0" w:afterAutospacing="0" w:line="360" w:lineRule="auto"/>
      <w:jc w:val="both"/>
      <w:outlineLvl w:val="2"/>
    </w:pPr>
    <w:rPr>
      <w:rFonts w:eastAsia="黑体"/>
      <w:bCs/>
      <w:kern w:val="0"/>
      <w:sz w:val="28"/>
      <w:szCs w:val="27"/>
      <w:lang w:bidi="ar"/>
    </w:rPr>
  </w:style>
  <w:style w:type="paragraph" w:styleId="5">
    <w:name w:val="heading 4"/>
    <w:basedOn w:val="1"/>
    <w:next w:val="1"/>
    <w:unhideWhenUsed/>
    <w:qFormat/>
    <w:uiPriority w:val="0"/>
    <w:pPr>
      <w:spacing w:before="0" w:beforeAutospacing="0" w:after="0" w:afterAutospacing="0" w:line="360" w:lineRule="auto"/>
      <w:jc w:val="both"/>
      <w:outlineLvl w:val="3"/>
    </w:pPr>
    <w:rPr>
      <w:rFonts w:hint="default" w:ascii="Times New Roman" w:hAnsi="Times New Roman" w:eastAsia="黑体"/>
      <w:bCs/>
      <w:kern w:val="0"/>
      <w:sz w:val="28"/>
      <w:lang w:bidi="ar"/>
    </w:rPr>
  </w:style>
  <w:style w:type="paragraph" w:styleId="6">
    <w:name w:val="heading 5"/>
    <w:basedOn w:val="1"/>
    <w:next w:val="1"/>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0"/>
    <w:pPr>
      <w:ind w:firstLine="0" w:firstLineChars="0"/>
      <w:jc w:val="center"/>
    </w:pPr>
    <w:rPr>
      <w:rFonts w:ascii="Times New Roman" w:hAnsi="Times New Roman" w:eastAsia="黑体"/>
      <w:sz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pPr>
      <w:spacing w:line="360" w:lineRule="auto"/>
    </w:pPr>
    <w:rPr>
      <w:rFonts w:eastAsia="黑体"/>
      <w:sz w:val="28"/>
    </w:rPr>
  </w:style>
  <w:style w:type="paragraph" w:styleId="11">
    <w:name w:val="footnote text"/>
    <w:basedOn w:val="1"/>
    <w:qFormat/>
    <w:uiPriority w:val="0"/>
    <w:pPr>
      <w:snapToGrid w:val="0"/>
      <w:jc w:val="left"/>
    </w:pPr>
    <w:rPr>
      <w:sz w:val="18"/>
    </w:rPr>
  </w:style>
  <w:style w:type="paragraph" w:styleId="12">
    <w:name w:val="toc 2"/>
    <w:basedOn w:val="1"/>
    <w:next w:val="1"/>
    <w:qFormat/>
    <w:uiPriority w:val="0"/>
    <w:pPr>
      <w:spacing w:line="360" w:lineRule="auto"/>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0" w:after="0" w:afterAutospacing="0" w:line="360" w:lineRule="auto"/>
      <w:ind w:left="0" w:right="0"/>
      <w:jc w:val="left"/>
    </w:pPr>
    <w:rPr>
      <w:kern w:val="0"/>
      <w:lang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styleId="20">
    <w:name w:val="annotation reference"/>
    <w:basedOn w:val="17"/>
    <w:unhideWhenUsed/>
    <w:qFormat/>
    <w:uiPriority w:val="99"/>
    <w:rPr>
      <w:sz w:val="21"/>
      <w:szCs w:val="21"/>
    </w:rPr>
  </w:style>
  <w:style w:type="character" w:styleId="21">
    <w:name w:val="footnote reference"/>
    <w:basedOn w:val="17"/>
    <w:uiPriority w:val="0"/>
    <w:rPr>
      <w:vertAlign w:val="superscript"/>
    </w:rPr>
  </w:style>
  <w:style w:type="paragraph" w:customStyle="1" w:styleId="22">
    <w:name w:val="21标头"/>
    <w:basedOn w:val="1"/>
    <w:qFormat/>
    <w:uiPriority w:val="99"/>
    <w:pPr>
      <w:spacing w:line="360" w:lineRule="auto"/>
      <w:jc w:val="center"/>
    </w:pPr>
    <w:rPr>
      <w:b/>
      <w:sz w:val="32"/>
      <w:szCs w:val="32"/>
    </w:rPr>
  </w:style>
  <w:style w:type="paragraph" w:customStyle="1" w:styleId="23">
    <w:name w:val="22表格"/>
    <w:basedOn w:val="1"/>
    <w:qFormat/>
    <w:uiPriority w:val="0"/>
    <w:pPr>
      <w:jc w:val="center"/>
    </w:pPr>
    <w:rPr>
      <w:rFonts w:eastAsia="仿宋_GB2312"/>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3135</Words>
  <Characters>3516</Characters>
  <Lines>0</Lines>
  <Paragraphs>0</Paragraphs>
  <TotalTime>5</TotalTime>
  <ScaleCrop>false</ScaleCrop>
  <LinksUpToDate>false</LinksUpToDate>
  <CharactersWithSpaces>3599</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2026-07-21T08:08:00Z</dcterms:created>
  <dc:creator>wsc</dc:creator>
  <cp:lastModifiedBy>刘琪</cp:lastModifiedBy>
  <dcterms:modified xsi:type="dcterms:W3CDTF">2026-08-04T07:27:15Z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1F8A04DF35C8412D9FF8E3D9EC18E0FE_13</vt:lpwstr>
  </property>
  <property fmtid="{D5CDD505-2E9C-101B-9397-08002B2CF9AE}" pid="4" name="KSOTemplateDocerSaveRecord">
    <vt:lpwstr>eyJoZGlkIjoiYmI5ZjdkZmVjYTBlMjJiMzQyNGZmNWQ2ZGQyOTljMTciLCJ1c2VySWQiOiIxODgwNTI4MDQ2In0=</vt:lpwstr>
  </property>
</Properties>
</file>