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“认证/标准合同路径”功能说明与路径描述（标注Reference）</w:t>
      </w:r>
    </w:p>
    <w:p>
      <w:pPr>
        <w:pStyle w:val="1"/>
        <w:spacing w:before="380" w:after="140" w:line="288" w:lineRule="auto"/>
        <w:ind w:left="0"/>
        <w:jc w:val="left"/>
        <w:outlineLvl w:val="0"/>
      </w:pPr>
      <w:bookmarkStart w:name="heading_0" w:id="0"/>
      <w:r>
        <w:rPr>
          <w:rFonts w:eastAsia="等线" w:ascii="Arial" w:cs="Arial" w:hAnsi="Arial"/>
          <w:b w:val="true"/>
          <w:sz w:val="36"/>
        </w:rPr>
        <w:t>用户输入：</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 w:id="1"/>
      <w:r>
        <w:rPr>
          <w:rFonts w:eastAsia="等线" w:ascii="Arial" w:cs="Arial" w:hAnsi="Arial"/>
          <w:b w:val="true"/>
          <w:sz w:val="36"/>
        </w:rPr>
        <w:t>系统输出</w:t>
      </w:r>
      <w:bookmarkEnd w:id="1"/>
    </w:p>
    <w:p>
      <w:pPr>
        <w:spacing w:before="120" w:after="120" w:line="288" w:lineRule="auto"/>
        <w:ind w:left="0"/>
        <w:jc w:val="left"/>
      </w:pPr>
      <w:r>
        <w:rPr>
          <w:rFonts w:eastAsia="等线" w:ascii="Arial" w:cs="Arial" w:hAnsi="Arial"/>
          <w:sz w:val="22"/>
        </w:rPr>
        <w:t>核心交付物：</w:t>
      </w:r>
    </w:p>
    <w:p>
      <w:pPr>
        <w:pStyle w:val="2"/>
        <w:spacing w:before="320" w:after="120" w:line="288" w:lineRule="auto"/>
        <w:ind w:left="0"/>
        <w:jc w:val="left"/>
        <w:outlineLvl w:val="1"/>
      </w:pPr>
      <w:bookmarkStart w:name="heading_2" w:id="2"/>
      <w:r>
        <w:rPr>
          <w:rFonts w:eastAsia="等线" w:ascii="Arial" w:cs="Arial" w:hAnsi="Arial"/>
          <w:b w:val="true"/>
          <w:sz w:val="32"/>
        </w:rPr>
        <w:t>交付1：个人信息保护影响评估报告（草案）</w:t>
      </w:r>
      <w:bookmarkEnd w:id="2"/>
    </w:p>
    <w:p>
      <w:pPr>
        <w:spacing w:before="120" w:after="120" w:line="288" w:lineRule="auto"/>
        <w:ind w:left="0"/>
        <w:jc w:val="left"/>
      </w:pPr>
      <w:r>
        <w:rPr>
          <w:rFonts w:eastAsia="等线" w:ascii="Arial" w:cs="Arial" w:hAnsi="Arial"/>
          <w:sz w:val="22"/>
        </w:rPr>
        <w:t xml:space="preserve">文件名称：[企业简称]_PIPIA_报告_草案_[日期].docx   </w:t>
      </w:r>
    </w:p>
    <w:p>
      <w:pPr>
        <w:spacing w:before="120" w:after="120" w:line="288" w:lineRule="auto"/>
        <w:ind w:left="0"/>
        <w:jc w:val="left"/>
      </w:pPr>
      <w:r>
        <w:rPr>
          <w:rFonts w:eastAsia="等线" w:ascii="Arial" w:cs="Arial" w:hAnsi="Arial"/>
          <w:sz w:val="22"/>
        </w:rPr>
        <w:t>格式：Microsoft Word (.docx)，严格遵循模板格式与样式（四号仿宋/Times New Roman，行距26磅，页边距等）。</w:t>
      </w:r>
    </w:p>
    <w:p>
      <w:pPr>
        <w:spacing w:before="120" w:after="120" w:line="288" w:lineRule="auto"/>
        <w:ind w:left="0"/>
        <w:jc w:val="left"/>
      </w:pPr>
      <w:r>
        <w:rPr>
          <w:rFonts w:eastAsia="等线" w:ascii="Arial" w:cs="Arial" w:hAnsi="Arial"/>
          <w:sz w:val="22"/>
        </w:rPr>
        <w:t>《个人信息出境标准合同备案指南（第二版）》文档附件5“个人信息保护影响评估报告（模板）（出境版）”的逐字内容：</w:t>
      </w:r>
    </w:p>
    <w:p>
      <w:pPr>
        <w:spacing w:before="120" w:after="120" w:line="288" w:lineRule="auto"/>
        <w:ind w:left="0"/>
        <w:jc w:val="left"/>
      </w:pPr>
      <w:r>
        <w:rPr>
          <w:rFonts w:eastAsia="等线" w:ascii="Arial" w:cs="Arial" w:hAnsi="Arial"/>
          <w:b w:val="true"/>
          <w:sz w:val="22"/>
        </w:rPr>
        <w:t>个人信息保护影响评估报告（模板）（出境版）</w:t>
      </w:r>
    </w:p>
    <w:p>
      <w:pPr>
        <w:spacing w:before="120" w:after="120" w:line="288" w:lineRule="auto"/>
        <w:ind w:left="0"/>
        <w:jc w:val="left"/>
      </w:pPr>
      <w:r>
        <w:rPr>
          <w:rFonts w:eastAsia="等线" w:ascii="Arial" w:cs="Arial" w:hAnsi="Arial"/>
          <w:sz w:val="22"/>
        </w:rPr>
        <w:t>个人信息处理者名称：（盖章）</w:t>
      </w:r>
    </w:p>
    <w:p>
      <w:pPr>
        <w:spacing w:before="120" w:after="120" w:line="288" w:lineRule="auto"/>
        <w:ind w:left="0"/>
        <w:jc w:val="left"/>
      </w:pPr>
      <w:r>
        <w:rPr>
          <w:rFonts w:eastAsia="等线" w:ascii="Arial" w:cs="Arial" w:hAnsi="Arial"/>
          <w:sz w:val="22"/>
        </w:rPr>
        <w:t>年 月 日</w:t>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（一）个人信息处理者备案个人信息出境标准合同时需提供个人信息保护影响评估报告，并对所提交的评估报告真实性负责；</w:t>
      </w:r>
    </w:p>
    <w:p>
      <w:pPr>
        <w:spacing w:before="120" w:after="120" w:line="288" w:lineRule="auto"/>
        <w:ind w:left="0"/>
        <w:jc w:val="left"/>
      </w:pPr>
      <w:r>
        <w:rPr>
          <w:rFonts w:eastAsia="等线" w:ascii="Arial" w:cs="Arial" w:hAnsi="Arial"/>
          <w:sz w:val="22"/>
        </w:rPr>
        <w:t>（二）报告所述评估工作为本次申报前3个月内完成；</w:t>
      </w:r>
    </w:p>
    <w:p>
      <w:pPr>
        <w:spacing w:before="120" w:after="120" w:line="288" w:lineRule="auto"/>
        <w:ind w:left="0"/>
        <w:jc w:val="left"/>
      </w:pPr>
      <w:r>
        <w:rPr>
          <w:rFonts w:eastAsia="等线" w:ascii="Arial" w:cs="Arial" w:hAnsi="Arial"/>
          <w:sz w:val="22"/>
        </w:rPr>
        <w:t>（三）如有第三方机构参与评估，须在评估报告中说明第三方机构的基本情况及参与评估的情况；</w:t>
      </w:r>
    </w:p>
    <w:p>
      <w:pPr>
        <w:spacing w:before="120" w:after="120" w:line="288" w:lineRule="auto"/>
        <w:ind w:left="0"/>
        <w:jc w:val="left"/>
      </w:pPr>
      <w:r>
        <w:rPr>
          <w:rFonts w:eastAsia="等线" w:ascii="Arial" w:cs="Arial" w:hAnsi="Arial"/>
          <w:sz w:val="22"/>
        </w:rPr>
        <w:t>（四）评估报告严格按照模板撰写。评估报告必须使用中文撰写，正文字体四号“仿宋”（其中，正文一级标题黑体、二级标题楷体加黑、三级标题仿宋加黑），数字、字母使用四号“Times New Roman”字体，行距固定值26磅，段落首行缩进2字符。页面设置：A4纸，上下页边距为2.54cm，左右页边距为3.18cm。</w:t>
      </w:r>
    </w:p>
    <w:p>
      <w:pPr>
        <w:spacing w:before="120" w:after="120" w:line="288" w:lineRule="auto"/>
        <w:ind w:left="0"/>
        <w:jc w:val="left"/>
      </w:pPr>
      <w:r>
        <w:rPr>
          <w:rFonts w:eastAsia="等线" w:ascii="Arial" w:cs="Arial" w:hAnsi="Arial"/>
          <w:b w:val="true"/>
          <w:sz w:val="22"/>
        </w:rPr>
        <w:t>一、出境活动整体情况</w:t>
      </w:r>
    </w:p>
    <w:p>
      <w:pPr>
        <w:spacing w:before="120" w:after="120" w:line="288" w:lineRule="auto"/>
        <w:ind w:left="0"/>
        <w:jc w:val="left"/>
      </w:pPr>
      <w:r>
        <w:rPr>
          <w:rFonts w:eastAsia="等线" w:ascii="Arial" w:cs="Arial" w:hAnsi="Arial"/>
          <w:sz w:val="22"/>
        </w:rPr>
        <w:t>（一）个人信息处理者基本情况</w:t>
      </w:r>
    </w:p>
    <w:p>
      <w:pPr>
        <w:numPr>
          <w:numId w:val="1"/>
        </w:numPr>
        <w:spacing w:before="120" w:after="120" w:line="288" w:lineRule="auto"/>
        <w:ind w:left="0"/>
        <w:jc w:val="left"/>
      </w:pPr>
      <w:r>
        <w:rPr>
          <w:rFonts w:eastAsia="等线" w:ascii="Arial" w:cs="Arial" w:hAnsi="Arial"/>
          <w:sz w:val="22"/>
        </w:rPr>
        <w:t>基本情况简介，包括股权结构、实际控制人、境内外投资情况、组织架构和个人信息保护机构信息等。</w:t>
      </w:r>
    </w:p>
    <w:p>
      <w:pPr>
        <w:numPr>
          <w:numId w:val="2"/>
        </w:numPr>
        <w:spacing w:before="120" w:after="120" w:line="288" w:lineRule="auto"/>
        <w:ind w:left="0"/>
        <w:jc w:val="left"/>
      </w:pPr>
      <w:r>
        <w:rPr>
          <w:rFonts w:eastAsia="等线" w:ascii="Arial" w:cs="Arial" w:hAnsi="Arial"/>
          <w:sz w:val="22"/>
        </w:rPr>
        <w:t>整体业务与处理个人信息情况。</w:t>
      </w:r>
    </w:p>
    <w:p>
      <w:pPr>
        <w:numPr>
          <w:numId w:val="3"/>
        </w:numPr>
        <w:spacing w:before="120" w:after="120" w:line="288" w:lineRule="auto"/>
        <w:ind w:left="0"/>
        <w:jc w:val="left"/>
      </w:pPr>
      <w:r>
        <w:rPr>
          <w:rFonts w:eastAsia="等线" w:ascii="Arial" w:cs="Arial" w:hAnsi="Arial"/>
          <w:sz w:val="22"/>
        </w:rPr>
        <w:t>拟出境个人信息情况。</w:t>
      </w:r>
    </w:p>
    <w:p>
      <w:pPr>
        <w:numPr>
          <w:numId w:val="4"/>
        </w:numPr>
        <w:spacing w:before="120" w:after="120" w:line="288" w:lineRule="auto"/>
        <w:ind w:left="0"/>
        <w:jc w:val="left"/>
      </w:pPr>
      <w:r>
        <w:rPr>
          <w:rFonts w:eastAsia="等线" w:ascii="Arial" w:cs="Arial" w:hAnsi="Arial"/>
          <w:sz w:val="22"/>
        </w:rPr>
        <w:t>（1）个人信息出境涉及业务、个人信息收集使用、信息系统等情况；</w:t>
      </w:r>
    </w:p>
    <w:p>
      <w:pPr>
        <w:numPr>
          <w:numId w:val="5"/>
        </w:numPr>
        <w:spacing w:before="120" w:after="120" w:line="288" w:lineRule="auto"/>
        <w:ind w:left="0"/>
        <w:jc w:val="left"/>
      </w:pPr>
      <w:r>
        <w:rPr>
          <w:rFonts w:eastAsia="等线" w:ascii="Arial" w:cs="Arial" w:hAnsi="Arial"/>
          <w:sz w:val="22"/>
        </w:rPr>
        <w:t>（2）个人信息处理者和境外接收方处理个人信息的目的、范围、方式，及其合法性、正当性、必要性；</w:t>
      </w:r>
    </w:p>
    <w:p>
      <w:pPr>
        <w:numPr>
          <w:numId w:val="6"/>
        </w:numPr>
        <w:spacing w:before="120" w:after="120" w:line="288" w:lineRule="auto"/>
        <w:ind w:left="0"/>
        <w:jc w:val="left"/>
      </w:pPr>
      <w:r>
        <w:rPr>
          <w:rFonts w:eastAsia="等线" w:ascii="Arial" w:cs="Arial" w:hAnsi="Arial"/>
          <w:sz w:val="22"/>
        </w:rPr>
        <w:t>（3）出境个人信息的规模、范围、种类、敏感程度，处理敏感个人信息情况；</w:t>
      </w:r>
    </w:p>
    <w:p>
      <w:pPr>
        <w:numPr>
          <w:numId w:val="7"/>
        </w:numPr>
        <w:spacing w:before="120" w:after="120" w:line="288" w:lineRule="auto"/>
        <w:ind w:left="0"/>
        <w:jc w:val="left"/>
      </w:pPr>
      <w:r>
        <w:rPr>
          <w:rFonts w:eastAsia="等线" w:ascii="Arial" w:cs="Arial" w:hAnsi="Arial"/>
          <w:sz w:val="22"/>
        </w:rPr>
        <w:t>（4）拟出境个人信息在境内存储的系统平台、数据中心等情况，个人信息出境链路相关情况，计划出境后存储的系统平台、数据中心等；</w:t>
      </w:r>
    </w:p>
    <w:p>
      <w:pPr>
        <w:numPr>
          <w:numId w:val="8"/>
        </w:numPr>
        <w:spacing w:before="120" w:after="120" w:line="288" w:lineRule="auto"/>
        <w:ind w:left="0"/>
        <w:jc w:val="left"/>
      </w:pPr>
      <w:r>
        <w:rPr>
          <w:rFonts w:eastAsia="等线" w:ascii="Arial" w:cs="Arial" w:hAnsi="Arial"/>
          <w:sz w:val="22"/>
        </w:rPr>
        <w:t>（5）个人信息出境后向境外其他接收方提供的情况。</w:t>
      </w:r>
    </w:p>
    <w:p>
      <w:pPr>
        <w:numPr>
          <w:numId w:val="9"/>
        </w:numPr>
        <w:spacing w:before="120" w:after="120" w:line="288" w:lineRule="auto"/>
        <w:ind w:left="0"/>
        <w:jc w:val="left"/>
      </w:pPr>
      <w:r>
        <w:rPr>
          <w:rFonts w:eastAsia="等线" w:ascii="Arial" w:cs="Arial" w:hAnsi="Arial"/>
          <w:sz w:val="22"/>
        </w:rPr>
        <w:t>遵守个人信息保护相关法律法规的情况。</w:t>
      </w:r>
    </w:p>
    <w:p>
      <w:pPr>
        <w:spacing w:before="120" w:after="120" w:line="288" w:lineRule="auto"/>
        <w:ind w:left="0"/>
        <w:jc w:val="left"/>
      </w:pPr>
      <w:r>
        <w:rPr>
          <w:rFonts w:eastAsia="等线" w:ascii="Arial" w:cs="Arial" w:hAnsi="Arial"/>
          <w:sz w:val="22"/>
        </w:rPr>
        <w:t>（二）境外接收方情况</w:t>
      </w:r>
    </w:p>
    <w:p>
      <w:pPr>
        <w:numPr>
          <w:numId w:val="10"/>
        </w:numPr>
        <w:spacing w:before="120" w:after="120" w:line="288" w:lineRule="auto"/>
        <w:ind w:left="0"/>
        <w:jc w:val="left"/>
      </w:pPr>
      <w:r>
        <w:rPr>
          <w:rFonts w:eastAsia="等线" w:ascii="Arial" w:cs="Arial" w:hAnsi="Arial"/>
          <w:sz w:val="22"/>
        </w:rPr>
        <w:t>境外接收方基本情况；</w:t>
      </w:r>
    </w:p>
    <w:p>
      <w:pPr>
        <w:numPr>
          <w:numId w:val="11"/>
        </w:numPr>
        <w:spacing w:before="120" w:after="120" w:line="288" w:lineRule="auto"/>
        <w:ind w:left="0"/>
        <w:jc w:val="left"/>
      </w:pPr>
      <w:r>
        <w:rPr>
          <w:rFonts w:eastAsia="等线" w:ascii="Arial" w:cs="Arial" w:hAnsi="Arial"/>
          <w:sz w:val="22"/>
        </w:rPr>
        <w:t>境外接收方处理个人信息的用途、方式等；</w:t>
      </w:r>
    </w:p>
    <w:p>
      <w:pPr>
        <w:numPr>
          <w:numId w:val="12"/>
        </w:numPr>
        <w:spacing w:before="120" w:after="120" w:line="288" w:lineRule="auto"/>
        <w:ind w:left="0"/>
        <w:jc w:val="left"/>
      </w:pPr>
      <w:r>
        <w:rPr>
          <w:rFonts w:eastAsia="等线" w:ascii="Arial" w:cs="Arial" w:hAnsi="Arial"/>
          <w:sz w:val="22"/>
        </w:rPr>
        <w:t>境外接收方履行责任义务的管理和技术措施、能力等。</w:t>
      </w:r>
    </w:p>
    <w:p>
      <w:pPr>
        <w:spacing w:before="120" w:after="120" w:line="288" w:lineRule="auto"/>
        <w:ind w:left="0"/>
        <w:jc w:val="left"/>
      </w:pPr>
      <w:r>
        <w:rPr>
          <w:rFonts w:eastAsia="等线" w:ascii="Arial" w:cs="Arial" w:hAnsi="Arial"/>
          <w:sz w:val="22"/>
        </w:rPr>
        <w:t>（三）个人信息处理者认为需要说明的其他情况</w:t>
      </w:r>
    </w:p>
    <w:p>
      <w:pPr>
        <w:spacing w:before="120" w:after="120" w:line="288" w:lineRule="auto"/>
        <w:ind w:left="0"/>
        <w:jc w:val="left"/>
      </w:pPr>
      <w:r>
        <w:rPr>
          <w:rFonts w:eastAsia="等线" w:ascii="Arial" w:cs="Arial" w:hAnsi="Arial"/>
          <w:b w:val="true"/>
          <w:sz w:val="22"/>
        </w:rPr>
        <w:t>二、拟出境活动的影响评估情况及结论</w:t>
      </w:r>
    </w:p>
    <w:p>
      <w:pPr>
        <w:spacing w:before="120" w:after="120" w:line="288" w:lineRule="auto"/>
        <w:ind w:left="0"/>
        <w:jc w:val="left"/>
      </w:pPr>
      <w:r>
        <w:rPr>
          <w:rFonts w:eastAsia="等线" w:ascii="Arial" w:cs="Arial" w:hAnsi="Arial"/>
          <w:sz w:val="22"/>
        </w:rPr>
        <w:t>对照《个人信息出境标准合同办法》第五条规定事项，说明个人信息保护影响评估情况，重点说明评估发现的问题和整改情况。</w:t>
      </w:r>
    </w:p>
    <w:p>
      <w:pPr>
        <w:spacing w:before="120" w:after="120" w:line="288" w:lineRule="auto"/>
        <w:ind w:left="0"/>
        <w:jc w:val="left"/>
      </w:pPr>
      <w:r>
        <w:rPr>
          <w:rFonts w:eastAsia="等线" w:ascii="Arial" w:cs="Arial" w:hAnsi="Arial"/>
          <w:sz w:val="22"/>
        </w:rPr>
        <w:t>综合影响评估情况和相应整改情况，对个人信息出境活动作出客观的影响评估结论，充分说明得出评估结论的理由和论据。</w:t>
      </w:r>
    </w:p>
    <w:p>
      <w:pPr>
        <w:pStyle w:val="2"/>
        <w:spacing w:before="320" w:after="120" w:line="288" w:lineRule="auto"/>
        <w:ind w:left="0"/>
        <w:jc w:val="left"/>
        <w:outlineLvl w:val="1"/>
      </w:pPr>
      <w:bookmarkStart w:name="heading_3" w:id="3"/>
      <w:r>
        <w:rPr>
          <w:rFonts w:eastAsia="等线" w:ascii="Arial" w:cs="Arial" w:hAnsi="Arial"/>
          <w:b w:val="true"/>
          <w:sz w:val="32"/>
        </w:rPr>
        <w:t>交付2：生成草案的逻辑</w:t>
      </w:r>
      <w:bookmarkEnd w:id="3"/>
    </w:p>
    <w:p>
      <w:pPr>
        <w:spacing w:before="120" w:after="120" w:line="288" w:lineRule="auto"/>
        <w:ind w:left="0"/>
        <w:jc w:val="left"/>
      </w:pPr>
      <w:r>
        <w:rPr>
          <w:rFonts w:eastAsia="等线" w:ascii="Arial" w:cs="Arial" w:hAnsi="Arial"/>
          <w:sz w:val="22"/>
        </w:rPr>
        <w:t>以下是为该文档的格式与内容模板：</w:t>
      </w:r>
    </w:p>
    <w:p>
      <w:pPr>
        <w:pStyle w:val="3"/>
        <w:spacing w:before="300" w:after="120" w:line="288" w:lineRule="auto"/>
        <w:ind w:left="0"/>
        <w:jc w:val="left"/>
        <w:outlineLvl w:val="2"/>
      </w:pPr>
      <w:bookmarkStart w:name="heading_4" w:id="4"/>
      <w:r>
        <w:rPr>
          <w:rFonts w:eastAsia="等线" w:ascii="Arial" w:cs="Arial" w:hAnsi="Arial"/>
          <w:b w:val="true"/>
          <w:sz w:val="30"/>
        </w:rPr>
        <w:t>《[报告类型]草案生成逻辑与合规性说明》</w:t>
      </w:r>
      <w:bookmarkEnd w:id="4"/>
    </w:p>
    <w:p>
      <w:pPr>
        <w:spacing w:before="120" w:after="120" w:line="288" w:lineRule="auto"/>
        <w:ind w:left="0"/>
        <w:jc w:val="left"/>
      </w:pPr>
      <w:r>
        <w:rPr>
          <w:rFonts w:eastAsia="等线" w:ascii="Arial" w:cs="Arial" w:hAnsi="Arial"/>
          <w:b w:val="true"/>
          <w:sz w:val="22"/>
        </w:rPr>
        <w:t>(关联草案：[关联的报告草案文件名])</w:t>
      </w:r>
    </w:p>
    <w:p>
      <w:pPr>
        <w:spacing w:before="120" w:after="120" w:line="288" w:lineRule="auto"/>
        <w:ind w:left="0"/>
        <w:jc w:val="left"/>
      </w:pPr>
      <w:r>
        <w:rPr>
          <w:rFonts w:eastAsia="等线" w:ascii="Arial" w:cs="Arial" w:hAnsi="Arial"/>
          <w:b w:val="true"/>
          <w:sz w:val="22"/>
        </w:rPr>
        <w:t>生成时间：</w:t>
      </w:r>
      <w:r>
        <w:rPr>
          <w:rFonts w:eastAsia="等线" w:ascii="Arial" w:cs="Arial" w:hAnsi="Arial"/>
          <w:sz w:val="22"/>
        </w:rPr>
        <w:t xml:space="preserve"> YYYY-MM-DD HH:MM</w:t>
      </w:r>
    </w:p>
    <w:p>
      <w:pPr>
        <w:spacing w:before="120" w:after="120" w:line="288" w:lineRule="auto"/>
        <w:ind w:left="0"/>
        <w:jc w:val="left"/>
      </w:pPr>
      <w:r>
        <w:rPr>
          <w:rFonts w:eastAsia="等线" w:ascii="Arial" w:cs="Arial" w:hAnsi="Arial"/>
          <w:b w:val="true"/>
          <w:sz w:val="22"/>
        </w:rPr>
        <w:t>本次生成会话ID：</w:t>
      </w:r>
      <w:r>
        <w:rPr>
          <w:rFonts w:eastAsia="等线" w:ascii="Arial" w:cs="Arial" w:hAnsi="Arial"/>
          <w:sz w:val="22"/>
        </w:rPr>
        <w:t xml:space="preserve"> [系统生成的唯一标识符]</w:t>
      </w:r>
    </w:p>
    <w:p>
      <w:pPr>
        <w:pStyle w:val="4"/>
        <w:spacing w:before="260" w:after="120" w:line="288" w:lineRule="auto"/>
        <w:ind w:left="0"/>
        <w:jc w:val="left"/>
        <w:outlineLvl w:val="3"/>
      </w:pPr>
      <w:bookmarkStart w:name="heading_5" w:id="5"/>
      <w:r>
        <w:rPr>
          <w:rFonts w:eastAsia="等线" w:ascii="Arial" w:cs="Arial" w:hAnsi="Arial"/>
          <w:b w:val="true"/>
          <w:sz w:val="28"/>
        </w:rPr>
        <w:t>一、 生成过程概述</w:t>
      </w:r>
      <w:bookmarkEnd w:id="5"/>
    </w:p>
    <w:p>
      <w:pPr>
        <w:numPr>
          <w:numId w:val="13"/>
        </w:numPr>
        <w:spacing w:before="120" w:after="120" w:line="288" w:lineRule="auto"/>
        <w:ind w:left="0"/>
        <w:jc w:val="left"/>
      </w:pPr>
      <w:r>
        <w:rPr>
          <w:rFonts w:eastAsia="等线" w:ascii="Arial" w:cs="Arial" w:hAnsi="Arial"/>
          <w:b w:val="true"/>
          <w:sz w:val="22"/>
        </w:rPr>
        <w:t>输入信息摘要</w:t>
      </w:r>
      <w:r>
        <w:rPr>
          <w:rFonts w:eastAsia="等线" w:ascii="Arial" w:cs="Arial" w:hAnsi="Arial"/>
          <w:sz w:val="22"/>
        </w:rPr>
        <w:t>：简述本次生成所依据的用户输入的核心信息点（如：业务场景、数据类型、数据量、出境目的、接收方等），并注明用户未提供或选择“不确定”的关键字段。</w:t>
      </w:r>
    </w:p>
    <w:p>
      <w:pPr>
        <w:numPr>
          <w:numId w:val="14"/>
        </w:numPr>
        <w:spacing w:before="120" w:after="120" w:line="288" w:lineRule="auto"/>
        <w:ind w:left="0"/>
        <w:jc w:val="left"/>
      </w:pPr>
      <w:r>
        <w:rPr>
          <w:rFonts w:eastAsia="等线" w:ascii="Arial" w:cs="Arial" w:hAnsi="Arial"/>
          <w:b w:val="true"/>
          <w:sz w:val="22"/>
        </w:rPr>
        <w:t>遵循的模板与规范</w:t>
      </w:r>
      <w:r>
        <w:rPr>
          <w:rFonts w:eastAsia="等线" w:ascii="Arial" w:cs="Arial" w:hAnsi="Arial"/>
          <w:sz w:val="22"/>
        </w:rPr>
        <w:t>：明确声明本次生成严格遵循《[数据出境风险自评估报告（模板）]》/《[个人信息保护影响评估报告（模板）（出境版）]》的结构与格式要求。</w:t>
      </w:r>
    </w:p>
    <w:p>
      <w:pPr>
        <w:numPr>
          <w:numId w:val="15"/>
        </w:numPr>
        <w:spacing w:before="120" w:after="120" w:line="288" w:lineRule="auto"/>
        <w:ind w:left="0"/>
        <w:jc w:val="left"/>
      </w:pPr>
      <w:r>
        <w:rPr>
          <w:rFonts w:eastAsia="等线" w:ascii="Arial" w:cs="Arial" w:hAnsi="Arial"/>
          <w:b w:val="true"/>
          <w:sz w:val="22"/>
        </w:rPr>
        <w:t>核心生成逻辑</w:t>
      </w:r>
      <w:r>
        <w:rPr>
          <w:rFonts w:eastAsia="等线" w:ascii="Arial" w:cs="Arial" w:hAnsi="Arial"/>
          <w:sz w:val="22"/>
        </w:rPr>
        <w:t>：说明系统采用“</w:t>
      </w:r>
      <w:r>
        <w:rPr>
          <w:rFonts w:eastAsia="等线" w:ascii="Arial" w:cs="Arial" w:hAnsi="Arial"/>
          <w:b w:val="true"/>
          <w:sz w:val="22"/>
        </w:rPr>
        <w:t>规则填充 + 知识增强生成</w:t>
      </w:r>
      <w:r>
        <w:rPr>
          <w:rFonts w:eastAsia="等线" w:ascii="Arial" w:cs="Arial" w:hAnsi="Arial"/>
          <w:sz w:val="22"/>
        </w:rPr>
        <w:t>”的混合模式。对于模板中有明确指引或可结构化填写的部分（如公司基本信息、数据清单表头），采用规则驱动填充；对于需要论述分析的部分（如合法性、必要性分析，风险评估），在检索增强生成（RAG）技术支持下，基于相关法规条款和案例进行内容生成。</w:t>
      </w:r>
    </w:p>
    <w:p>
      <w:pPr>
        <w:pStyle w:val="4"/>
        <w:spacing w:before="260" w:after="120" w:line="288" w:lineRule="auto"/>
        <w:ind w:left="0"/>
        <w:jc w:val="left"/>
        <w:outlineLvl w:val="3"/>
      </w:pPr>
      <w:bookmarkStart w:name="heading_6" w:id="6"/>
      <w:r>
        <w:rPr>
          <w:rFonts w:eastAsia="等线" w:ascii="Arial" w:cs="Arial" w:hAnsi="Arial"/>
          <w:b w:val="true"/>
          <w:sz w:val="28"/>
        </w:rPr>
        <w:t>二、 关键判断与合规化处理说明</w:t>
      </w:r>
      <w:bookmarkEnd w:id="6"/>
    </w:p>
    <w:p>
      <w:pPr>
        <w:spacing w:before="120" w:after="120" w:line="288" w:lineRule="auto"/>
        <w:ind w:left="0"/>
        <w:jc w:val="left"/>
      </w:pPr>
      <w:r>
        <w:rPr>
          <w:rFonts w:eastAsia="等线" w:ascii="Arial" w:cs="Arial" w:hAnsi="Arial"/>
          <w:sz w:val="22"/>
        </w:rPr>
        <w:t>本部分逐一说明AI在生成草案时，对用户输入信息进行的转换、判断及为提升草案合规性所做的处理。</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7" w:id="7"/>
      <w:r>
        <w:rPr>
          <w:rFonts w:eastAsia="等线" w:ascii="Arial" w:cs="Arial" w:hAnsi="Arial"/>
          <w:b w:val="true"/>
          <w:sz w:val="28"/>
        </w:rPr>
        <w:t>三、 当前草案的已知合规差距与待定项</w:t>
      </w:r>
      <w:bookmarkEnd w:id="7"/>
    </w:p>
    <w:p>
      <w:pPr>
        <w:spacing w:before="120" w:after="120" w:line="288" w:lineRule="auto"/>
        <w:ind w:left="0"/>
        <w:jc w:val="left"/>
      </w:pPr>
      <w:r>
        <w:rPr>
          <w:rFonts w:eastAsia="等线" w:ascii="Arial" w:cs="Arial" w:hAnsi="Arial"/>
          <w:sz w:val="22"/>
        </w:rPr>
        <w:t>本部分清晰罗列因信息不足或判断边界问题，草案中</w:t>
      </w:r>
      <w:r>
        <w:rPr>
          <w:rFonts w:eastAsia="等线" w:ascii="Arial" w:cs="Arial" w:hAnsi="Arial"/>
          <w:b w:val="true"/>
          <w:sz w:val="22"/>
        </w:rPr>
        <w:t>仍需您重点审阅、补充或确认</w:t>
      </w:r>
      <w:r>
        <w:rPr>
          <w:rFonts w:eastAsia="等线" w:ascii="Arial" w:cs="Arial" w:hAnsi="Arial"/>
          <w:sz w:val="22"/>
        </w:rPr>
        <w:t>的内容，这些是当前版本的主要风险点。</w:t>
      </w:r>
    </w:p>
    <w:p>
      <w:pPr>
        <w:numPr>
          <w:numId w:val="16"/>
        </w:numPr>
        <w:spacing w:before="120" w:after="120" w:line="288" w:lineRule="auto"/>
        <w:ind w:left="0"/>
        <w:jc w:val="left"/>
      </w:pPr>
      <w:r>
        <w:rPr>
          <w:rFonts w:eastAsia="等线" w:ascii="Arial" w:cs="Arial" w:hAnsi="Arial"/>
          <w:b w:val="true"/>
          <w:sz w:val="22"/>
        </w:rPr>
        <w:t>信息缺失项</w:t>
      </w:r>
      <w:r>
        <w:rPr>
          <w:rFonts w:eastAsia="等线" w:ascii="Arial" w:cs="Arial" w:hAnsi="Arial"/>
          <w:sz w:val="22"/>
        </w:rPr>
        <w:t>：</w:t>
      </w:r>
    </w:p>
    <w:p>
      <w:pPr>
        <w:numPr>
          <w:numId w:val="17"/>
        </w:numPr>
        <w:spacing w:before="120" w:after="120" w:line="288" w:lineRule="auto"/>
        <w:ind w:left="453"/>
        <w:jc w:val="left"/>
      </w:pPr>
      <w:r>
        <w:rPr>
          <w:rFonts w:eastAsia="等线" w:ascii="Arial" w:cs="Arial" w:hAnsi="Arial"/>
          <w:b w:val="true"/>
          <w:sz w:val="22"/>
        </w:rPr>
        <w:t>【高优先级】</w:t>
      </w:r>
      <w:r>
        <w:rPr>
          <w:rFonts w:eastAsia="等线" w:ascii="Arial" w:cs="Arial" w:hAnsi="Arial"/>
          <w:sz w:val="22"/>
        </w:rPr>
        <w:t xml:space="preserve"> 报告中关于“[具体章节，如：履行告知-同意义务]”的佐证材料尚未关联。</w:t>
      </w:r>
      <w:r>
        <w:rPr>
          <w:rFonts w:eastAsia="等线" w:ascii="Arial" w:cs="Arial" w:hAnsi="Arial"/>
          <w:b w:val="true"/>
          <w:sz w:val="22"/>
        </w:rPr>
        <w:t>依据</w:t>
      </w:r>
      <w:r>
        <w:rPr>
          <w:rFonts w:eastAsia="等线" w:ascii="Arial" w:cs="Arial" w:hAnsi="Arial"/>
          <w:sz w:val="22"/>
        </w:rPr>
        <w:t>：《个人信息保护法》第三十九条将此作为出境前置条件。</w:t>
      </w:r>
      <w:r>
        <w:rPr>
          <w:rFonts w:eastAsia="等线" w:ascii="Arial" w:cs="Arial" w:hAnsi="Arial"/>
          <w:b w:val="true"/>
          <w:sz w:val="22"/>
        </w:rPr>
        <w:t>行动建议</w:t>
      </w:r>
      <w:r>
        <w:rPr>
          <w:rFonts w:eastAsia="等线" w:ascii="Arial" w:cs="Arial" w:hAnsi="Arial"/>
          <w:sz w:val="22"/>
        </w:rPr>
        <w:t>：请补充已获得的同意记录样本或说明适用的豁免情形。</w:t>
      </w:r>
    </w:p>
    <w:p>
      <w:pPr>
        <w:numPr>
          <w:numId w:val="18"/>
        </w:numPr>
        <w:spacing w:before="120" w:after="120" w:line="288" w:lineRule="auto"/>
        <w:ind w:left="453"/>
        <w:jc w:val="left"/>
      </w:pPr>
      <w:r>
        <w:rPr>
          <w:rFonts w:eastAsia="等线" w:ascii="Arial" w:cs="Arial" w:hAnsi="Arial"/>
          <w:b w:val="true"/>
          <w:sz w:val="22"/>
        </w:rPr>
        <w:t>【中优先级】</w:t>
      </w:r>
      <w:r>
        <w:rPr>
          <w:rFonts w:eastAsia="等线" w:ascii="Arial" w:cs="Arial" w:hAnsi="Arial"/>
          <w:sz w:val="22"/>
        </w:rPr>
        <w:t xml:space="preserve"> 境外接收方的数据安全管理制度详情未提供。草案中使用了概括性描述。</w:t>
      </w:r>
      <w:r>
        <w:rPr>
          <w:rFonts w:eastAsia="等线" w:ascii="Arial" w:cs="Arial" w:hAnsi="Arial"/>
          <w:b w:val="true"/>
          <w:sz w:val="22"/>
        </w:rPr>
        <w:t>行动建议</w:t>
      </w:r>
      <w:r>
        <w:rPr>
          <w:rFonts w:eastAsia="等线" w:ascii="Arial" w:cs="Arial" w:hAnsi="Arial"/>
          <w:sz w:val="22"/>
        </w:rPr>
        <w:t>：建议向接收方索取其安全政策文档，以完善报告第四（四）部分。</w:t>
      </w:r>
    </w:p>
    <w:p>
      <w:pPr>
        <w:numPr>
          <w:numId w:val="19"/>
        </w:numPr>
        <w:spacing w:before="120" w:after="120" w:line="288" w:lineRule="auto"/>
        <w:ind w:left="0"/>
        <w:jc w:val="left"/>
      </w:pPr>
      <w:r>
        <w:rPr>
          <w:rFonts w:eastAsia="等线" w:ascii="Arial" w:cs="Arial" w:hAnsi="Arial"/>
          <w:b w:val="true"/>
          <w:sz w:val="22"/>
        </w:rPr>
        <w:t>依赖假设的判断项</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草案中关于“数据出境合法性基础”的论述，基于您选择的“[如：履行合同所必需]”这一场景。</w:t>
      </w:r>
      <w:r>
        <w:rPr>
          <w:rFonts w:eastAsia="等线" w:ascii="Arial" w:cs="Arial" w:hAnsi="Arial"/>
          <w:b w:val="true"/>
          <w:sz w:val="22"/>
        </w:rPr>
        <w:t>请注意</w:t>
      </w:r>
      <w:r>
        <w:rPr>
          <w:rFonts w:eastAsia="等线" w:ascii="Arial" w:cs="Arial" w:hAnsi="Arial"/>
          <w:sz w:val="22"/>
        </w:rPr>
        <w:t>：若实际场景不符，需调整合法性基础，并重新评估整体合规逻辑。</w:t>
      </w:r>
    </w:p>
    <w:p>
      <w:pPr>
        <w:numPr>
          <w:numId w:val="21"/>
        </w:numPr>
        <w:spacing w:before="120" w:after="120" w:line="288" w:lineRule="auto"/>
        <w:ind w:left="453"/>
        <w:jc w:val="left"/>
      </w:pPr>
      <w:r>
        <w:rPr>
          <w:rFonts w:eastAsia="等线" w:ascii="Arial" w:cs="Arial" w:hAnsi="Arial"/>
          <w:sz w:val="22"/>
        </w:rPr>
        <w:t>对“重要数据”的识别，基于您“不包含”的选项及对行业通用指南的分析。</w:t>
      </w:r>
      <w:r>
        <w:rPr>
          <w:rFonts w:eastAsia="等线" w:ascii="Arial" w:cs="Arial" w:hAnsi="Arial"/>
          <w:b w:val="true"/>
          <w:sz w:val="22"/>
        </w:rPr>
        <w:t>提示</w:t>
      </w:r>
      <w:r>
        <w:rPr>
          <w:rFonts w:eastAsia="等线" w:ascii="Arial" w:cs="Arial" w:hAnsi="Arial"/>
          <w:sz w:val="22"/>
        </w:rPr>
        <w:t>：若贵司所属行业（如：工业、金融）有特殊目录，请依据该目录进行最终确认。</w:t>
      </w:r>
    </w:p>
    <w:p>
      <w:pPr>
        <w:numPr>
          <w:numId w:val="22"/>
        </w:numPr>
        <w:spacing w:before="120" w:after="120" w:line="288" w:lineRule="auto"/>
        <w:ind w:left="0"/>
        <w:jc w:val="left"/>
      </w:pPr>
      <w:r>
        <w:rPr>
          <w:rFonts w:eastAsia="等线" w:ascii="Arial" w:cs="Arial" w:hAnsi="Arial"/>
          <w:b w:val="true"/>
          <w:sz w:val="22"/>
        </w:rPr>
        <w:t>表述的通用性与局限性</w:t>
      </w:r>
      <w:r>
        <w:rPr>
          <w:rFonts w:eastAsia="等线" w:ascii="Arial" w:cs="Arial" w:hAnsi="Arial"/>
          <w:sz w:val="22"/>
        </w:rPr>
        <w:t>：</w:t>
      </w:r>
    </w:p>
    <w:p>
      <w:pPr>
        <w:numPr>
          <w:numId w:val="23"/>
        </w:numPr>
        <w:spacing w:before="120" w:after="120" w:line="288" w:lineRule="auto"/>
        <w:ind w:left="453"/>
        <w:jc w:val="left"/>
      </w:pPr>
      <w:r>
        <w:rPr>
          <w:rFonts w:eastAsia="等线" w:ascii="Arial" w:cs="Arial" w:hAnsi="Arial"/>
          <w:sz w:val="22"/>
        </w:rPr>
        <w:t>报告中的部分管理性、技术性措施描述为行业良好实践的综合，</w:t>
      </w:r>
      <w:r>
        <w:rPr>
          <w:rFonts w:eastAsia="等线" w:ascii="Arial" w:cs="Arial" w:hAnsi="Arial"/>
          <w:b w:val="true"/>
          <w:sz w:val="22"/>
        </w:rPr>
        <w:t>可能不完全匹配贵司的实际部署细节</w:t>
      </w:r>
      <w:r>
        <w:rPr>
          <w:rFonts w:eastAsia="等线" w:ascii="Arial" w:cs="Arial" w:hAnsi="Arial"/>
          <w:sz w:val="22"/>
        </w:rPr>
        <w:t>。请务必结合实际情况进行校准。</w:t>
      </w:r>
    </w:p>
    <w:p>
      <w:pPr>
        <w:numPr>
          <w:numId w:val="24"/>
        </w:numPr>
        <w:spacing w:before="120" w:after="120" w:line="288" w:lineRule="auto"/>
        <w:ind w:left="453"/>
        <w:jc w:val="left"/>
      </w:pPr>
      <w:r>
        <w:rPr>
          <w:rFonts w:eastAsia="等线" w:ascii="Arial" w:cs="Arial" w:hAnsi="Arial"/>
          <w:sz w:val="22"/>
        </w:rPr>
        <w:t>风险分析基于公开法规和常见案例，</w:t>
      </w:r>
      <w:r>
        <w:rPr>
          <w:rFonts w:eastAsia="等线" w:ascii="Arial" w:cs="Arial" w:hAnsi="Arial"/>
          <w:b w:val="true"/>
          <w:sz w:val="22"/>
        </w:rPr>
        <w:t>可能未涵盖贵司业务特有的、非公开的复杂风险</w:t>
      </w:r>
      <w:r>
        <w:rPr>
          <w:rFonts w:eastAsia="等线" w:ascii="Arial" w:cs="Arial" w:hAnsi="Arial"/>
          <w:sz w:val="22"/>
        </w:rPr>
        <w:t>。</w:t>
      </w:r>
    </w:p>
    <w:p>
      <w:pPr>
        <w:pStyle w:val="4"/>
        <w:spacing w:before="260" w:after="120" w:line="288" w:lineRule="auto"/>
        <w:ind w:left="0"/>
        <w:jc w:val="left"/>
        <w:outlineLvl w:val="3"/>
      </w:pPr>
      <w:bookmarkStart w:name="heading_8" w:id="8"/>
      <w:r>
        <w:rPr>
          <w:rFonts w:eastAsia="等线" w:ascii="Arial" w:cs="Arial" w:hAnsi="Arial"/>
          <w:b w:val="true"/>
          <w:sz w:val="28"/>
        </w:rPr>
        <w:t>四、 后续步骤建议</w:t>
      </w:r>
      <w:bookmarkEnd w:id="8"/>
    </w:p>
    <w:p>
      <w:pPr>
        <w:numPr>
          <w:numId w:val="25"/>
        </w:numPr>
        <w:spacing w:before="120" w:after="120" w:line="288" w:lineRule="auto"/>
        <w:ind w:left="0"/>
        <w:jc w:val="left"/>
      </w:pPr>
      <w:r>
        <w:rPr>
          <w:rFonts w:eastAsia="等线" w:ascii="Arial" w:cs="Arial" w:hAnsi="Arial"/>
          <w:b w:val="true"/>
          <w:sz w:val="22"/>
        </w:rPr>
        <w:t>必须人工核验</w:t>
      </w:r>
      <w:r>
        <w:rPr>
          <w:rFonts w:eastAsia="等线" w:ascii="Arial" w:cs="Arial" w:hAnsi="Arial"/>
          <w:sz w:val="22"/>
        </w:rPr>
        <w:t>：请贵司法务或合规负责人，依据内部实际情况，对本草案的所有内容，特别是</w:t>
      </w:r>
      <w:r>
        <w:rPr>
          <w:rFonts w:eastAsia="等线" w:ascii="Arial" w:cs="Arial" w:hAnsi="Arial"/>
          <w:b w:val="true"/>
          <w:sz w:val="22"/>
        </w:rPr>
        <w:t>第二、三部分</w:t>
      </w:r>
      <w:r>
        <w:rPr>
          <w:rFonts w:eastAsia="等线" w:ascii="Arial" w:cs="Arial" w:hAnsi="Arial"/>
          <w:sz w:val="22"/>
        </w:rPr>
        <w:t>提及的点进行逐项核实、修正与补充。</w:t>
      </w:r>
    </w:p>
    <w:p>
      <w:pPr>
        <w:numPr>
          <w:numId w:val="26"/>
        </w:numPr>
        <w:spacing w:before="120" w:after="120" w:line="288" w:lineRule="auto"/>
        <w:ind w:left="0"/>
        <w:jc w:val="left"/>
      </w:pPr>
      <w:r>
        <w:rPr>
          <w:rFonts w:eastAsia="等线" w:ascii="Arial" w:cs="Arial" w:hAnsi="Arial"/>
          <w:b w:val="true"/>
          <w:sz w:val="22"/>
        </w:rPr>
        <w:t>材料附件准备</w:t>
      </w:r>
      <w:r>
        <w:rPr>
          <w:rFonts w:eastAsia="等线" w:ascii="Arial" w:cs="Arial" w:hAnsi="Arial"/>
          <w:sz w:val="22"/>
        </w:rPr>
        <w:t>：根据草案要求，开始系统性地收集和准备所需的证明性材料附件（如制度文件、合同条款、技术验证报告、同意记录等）。</w:t>
      </w:r>
    </w:p>
    <w:p>
      <w:pPr>
        <w:numPr>
          <w:numId w:val="27"/>
        </w:numPr>
        <w:spacing w:before="120" w:after="120" w:line="288" w:lineRule="auto"/>
        <w:ind w:left="0"/>
        <w:jc w:val="left"/>
      </w:pPr>
      <w:r>
        <w:rPr>
          <w:rFonts w:eastAsia="等线" w:ascii="Arial" w:cs="Arial" w:hAnsi="Arial"/>
          <w:b w:val="true"/>
          <w:sz w:val="22"/>
        </w:rPr>
        <w:t>迭代优化</w:t>
      </w:r>
      <w:r>
        <w:rPr>
          <w:rFonts w:eastAsia="等线" w:ascii="Arial" w:cs="Arial" w:hAnsi="Arial"/>
          <w:sz w:val="22"/>
        </w:rPr>
        <w:t>：您可以将修改后的信息反馈给系统，发起“报告优化”流程，以获得更贴近最终版本的草案。</w:t>
      </w:r>
    </w:p>
    <w:p>
      <w:pPr>
        <w:spacing w:before="120" w:after="120" w:line="288" w:lineRule="auto"/>
        <w:ind w:left="0"/>
        <w:jc w:val="left"/>
      </w:pPr>
      <w:r>
        <w:rPr>
          <w:rFonts w:eastAsia="等线" w:ascii="Arial" w:cs="Arial" w:hAnsi="Arial"/>
          <w:b w:val="true"/>
          <w:sz w:val="22"/>
        </w:rPr>
        <w:t>免责声明</w:t>
      </w:r>
      <w:r>
        <w:rPr>
          <w:rFonts w:eastAsia="等线" w:ascii="Arial" w:cs="Arial" w:hAnsi="Arial"/>
          <w:sz w:val="22"/>
        </w:rPr>
        <w:t>：本说明及关联报告草案均由AI生成，仅供参考，不构成正式的法律意见或合规承诺。数据处理者应对出境活动的最终合规性承担全部责任。</w:t>
      </w:r>
    </w:p>
    <w:p>
      <w:pPr>
        <w:pStyle w:val="1"/>
        <w:spacing w:before="380" w:after="140" w:line="288" w:lineRule="auto"/>
        <w:ind w:left="0"/>
        <w:jc w:val="left"/>
        <w:outlineLvl w:val="0"/>
      </w:pPr>
      <w:bookmarkStart w:name="heading_9" w:id="9"/>
      <w:r>
        <w:rPr>
          <w:rFonts w:eastAsia="等线" w:ascii="Arial" w:cs="Arial" w:hAnsi="Arial"/>
          <w:b w:val="true"/>
          <w:sz w:val="36"/>
        </w:rPr>
        <w:t>输入输出依据</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输入依据</w:t>
      </w:r>
      <w:bookmarkEnd w:id="10"/>
    </w:p>
    <w:p>
      <w:pPr>
        <w:spacing w:before="120" w:after="120" w:line="288" w:lineRule="auto"/>
        <w:ind w:left="0"/>
        <w:jc w:val="left"/>
      </w:pPr>
      <w:r>
        <w:rPr>
          <w:rFonts w:eastAsia="等线" w:ascii="Arial" w:cs="Arial" w:hAnsi="Arial"/>
          <w:sz w:val="22"/>
        </w:rPr>
        <w:t>为网信办提供的《个人信息出境标准合同备案指南（第二版）》文档附件5“个人信息保护影响评估报告（模板）（出境版）”中所需内容,在输入的表中已经标注</w:t>
      </w:r>
    </w:p>
    <w:p>
      <w:pPr>
        <w:pStyle w:val="2"/>
        <w:spacing w:before="320" w:after="120" w:line="288" w:lineRule="auto"/>
        <w:ind w:left="0"/>
        <w:jc w:val="left"/>
        <w:outlineLvl w:val="1"/>
      </w:pPr>
      <w:bookmarkStart w:name="heading_11" w:id="11"/>
      <w:r>
        <w:rPr>
          <w:rFonts w:eastAsia="等线" w:ascii="Arial" w:cs="Arial" w:hAnsi="Arial"/>
          <w:b w:val="true"/>
          <w:sz w:val="32"/>
        </w:rPr>
        <w:t>输出依据</w:t>
      </w:r>
      <w:bookmarkEnd w:id="11"/>
    </w:p>
    <w:p>
      <w:pPr>
        <w:spacing w:before="120" w:after="120" w:line="288" w:lineRule="auto"/>
        <w:ind w:left="0"/>
        <w:jc w:val="left"/>
      </w:pPr>
      <w:r>
        <w:rPr>
          <w:rFonts w:eastAsia="等线" w:ascii="Arial" w:cs="Arial" w:hAnsi="Arial"/>
          <w:sz w:val="22"/>
        </w:rPr>
        <w:t>根据您的要求，以下是为生成《个人信息保护影响评估报告（草案）》提供内容、结构和合规性支撑的</w:t>
      </w:r>
      <w:r>
        <w:rPr>
          <w:rFonts w:eastAsia="等线" w:ascii="Arial" w:cs="Arial" w:hAnsi="Arial"/>
          <w:b w:val="true"/>
          <w:sz w:val="22"/>
        </w:rPr>
        <w:t>输出依据</w:t>
      </w:r>
      <w:r>
        <w:rPr>
          <w:rFonts w:eastAsia="等线" w:ascii="Arial" w:cs="Arial" w:hAnsi="Arial"/>
          <w:sz w:val="22"/>
        </w:rPr>
        <w:t>，涵盖法律法规、部门规章、国家标准及官方指南。所有文件均为现行有效。</w:t>
      </w:r>
    </w:p>
    <w:p>
      <w:pPr>
        <w:pStyle w:val="3"/>
        <w:spacing w:before="300" w:after="120" w:line="288" w:lineRule="auto"/>
        <w:ind w:left="0"/>
        <w:jc w:val="left"/>
        <w:outlineLvl w:val="2"/>
      </w:pPr>
      <w:bookmarkStart w:name="heading_12" w:id="12"/>
      <w:r>
        <w:rPr>
          <w:rFonts w:eastAsia="等线" w:ascii="Arial" w:cs="Arial" w:hAnsi="Arial"/>
          <w:b w:val="true"/>
          <w:sz w:val="30"/>
        </w:rPr>
        <w:t xml:space="preserve">一、 核心法律（上位法依据） </w:t>
      </w:r>
      <w:bookmarkEnd w:id="12"/>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r>
        <w:rPr>
          <w:rFonts w:eastAsia="等线" w:ascii="Arial" w:cs="Arial" w:hAnsi="Arial"/>
          <w:b w:val="true"/>
          <w:sz w:val="30"/>
        </w:rPr>
        <w:t xml:space="preserve">二、 部门规章（直接操作依据） </w:t>
      </w:r>
      <w:bookmarkEnd w:id="13"/>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4" w:id="14"/>
      <w:r>
        <w:rPr>
          <w:rFonts w:eastAsia="等线" w:ascii="Arial" w:cs="Arial" w:hAnsi="Arial"/>
          <w:b w:val="true"/>
          <w:sz w:val="30"/>
        </w:rPr>
        <w:t xml:space="preserve">三、 国家标准（技术评估与概念定义依据） </w:t>
      </w:r>
      <w:bookmarkEnd w:id="14"/>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r>
        <w:rPr>
          <w:rFonts w:eastAsia="等线" w:ascii="Arial" w:cs="Arial" w:hAnsi="Arial"/>
          <w:b w:val="true"/>
          <w:sz w:val="30"/>
        </w:rPr>
        <w:t xml:space="preserve">四、 官方指南与模板（格式与内容模板依据） </w:t>
      </w:r>
      <w:bookmarkEnd w:id="15"/>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98467">
    <w:lvl>
      <w:start w:val="1"/>
      <w:numFmt w:val="decimal"/>
      <w:suff w:val="tab"/>
      <w:lvlText w:val="%1."/>
      <w:rPr>
        <w:color w:val="3370ff"/>
      </w:rPr>
    </w:lvl>
  </w:abstractNum>
  <w:abstractNum w:abstractNumId="2798468">
    <w:lvl>
      <w:start w:val="2"/>
      <w:numFmt w:val="decimal"/>
      <w:suff w:val="tab"/>
      <w:lvlText w:val="%1."/>
      <w:rPr>
        <w:color w:val="3370ff"/>
      </w:rPr>
    </w:lvl>
  </w:abstractNum>
  <w:abstractNum w:abstractNumId="2798469">
    <w:lvl>
      <w:start w:val="3"/>
      <w:numFmt w:val="decimal"/>
      <w:suff w:val="tab"/>
      <w:lvlText w:val="%1."/>
      <w:rPr>
        <w:color w:val="3370ff"/>
      </w:rPr>
    </w:lvl>
  </w:abstractNum>
  <w:abstractNum w:abstractNumId="2798470">
    <w:lvl>
      <w:start w:val="4"/>
      <w:numFmt w:val="decimal"/>
      <w:suff w:val="tab"/>
      <w:lvlText w:val="%1."/>
      <w:rPr>
        <w:color w:val="3370ff"/>
      </w:rPr>
    </w:lvl>
  </w:abstractNum>
  <w:abstractNum w:abstractNumId="2798471">
    <w:lvl>
      <w:start w:val="5"/>
      <w:numFmt w:val="decimal"/>
      <w:suff w:val="tab"/>
      <w:lvlText w:val="%1."/>
      <w:rPr>
        <w:color w:val="3370ff"/>
      </w:rPr>
    </w:lvl>
  </w:abstractNum>
  <w:abstractNum w:abstractNumId="2798472">
    <w:lvl>
      <w:start w:val="6"/>
      <w:numFmt w:val="decimal"/>
      <w:suff w:val="tab"/>
      <w:lvlText w:val="%1."/>
      <w:rPr>
        <w:color w:val="3370ff"/>
      </w:rPr>
    </w:lvl>
  </w:abstractNum>
  <w:abstractNum w:abstractNumId="2798473">
    <w:lvl>
      <w:start w:val="7"/>
      <w:numFmt w:val="decimal"/>
      <w:suff w:val="tab"/>
      <w:lvlText w:val="%1."/>
      <w:rPr>
        <w:color w:val="3370ff"/>
      </w:rPr>
    </w:lvl>
  </w:abstractNum>
  <w:abstractNum w:abstractNumId="2798474">
    <w:lvl>
      <w:start w:val="8"/>
      <w:numFmt w:val="decimal"/>
      <w:suff w:val="tab"/>
      <w:lvlText w:val="%1."/>
      <w:rPr>
        <w:color w:val="3370ff"/>
      </w:rPr>
    </w:lvl>
  </w:abstractNum>
  <w:abstractNum w:abstractNumId="2798475">
    <w:lvl>
      <w:start w:val="9"/>
      <w:numFmt w:val="decimal"/>
      <w:suff w:val="tab"/>
      <w:lvlText w:val="%1."/>
      <w:rPr>
        <w:color w:val="3370ff"/>
      </w:rPr>
    </w:lvl>
  </w:abstractNum>
  <w:abstractNum w:abstractNumId="2798476">
    <w:lvl>
      <w:start w:val="1"/>
      <w:numFmt w:val="decimal"/>
      <w:suff w:val="tab"/>
      <w:lvlText w:val="%1."/>
      <w:rPr>
        <w:color w:val="3370ff"/>
      </w:rPr>
    </w:lvl>
  </w:abstractNum>
  <w:abstractNum w:abstractNumId="2798477">
    <w:lvl>
      <w:start w:val="2"/>
      <w:numFmt w:val="decimal"/>
      <w:suff w:val="tab"/>
      <w:lvlText w:val="%1."/>
      <w:rPr>
        <w:color w:val="3370ff"/>
      </w:rPr>
    </w:lvl>
  </w:abstractNum>
  <w:abstractNum w:abstractNumId="2798478">
    <w:lvl>
      <w:start w:val="3"/>
      <w:numFmt w:val="decimal"/>
      <w:suff w:val="tab"/>
      <w:lvlText w:val="%1."/>
      <w:rPr>
        <w:color w:val="3370ff"/>
      </w:rPr>
    </w:lvl>
  </w:abstractNum>
  <w:abstractNum w:abstractNumId="2798479">
    <w:lvl>
      <w:start w:val="1"/>
      <w:numFmt w:val="decimal"/>
      <w:suff w:val="tab"/>
      <w:lvlText w:val="%1."/>
      <w:rPr>
        <w:color w:val="3370ff"/>
      </w:rPr>
    </w:lvl>
  </w:abstractNum>
  <w:abstractNum w:abstractNumId="2798480">
    <w:lvl>
      <w:start w:val="2"/>
      <w:numFmt w:val="decimal"/>
      <w:suff w:val="tab"/>
      <w:lvlText w:val="%1."/>
      <w:rPr>
        <w:color w:val="3370ff"/>
      </w:rPr>
    </w:lvl>
  </w:abstractNum>
  <w:abstractNum w:abstractNumId="2798481">
    <w:lvl>
      <w:start w:val="3"/>
      <w:numFmt w:val="decimal"/>
      <w:suff w:val="tab"/>
      <w:lvlText w:val="%1."/>
      <w:rPr>
        <w:color w:val="3370ff"/>
      </w:rPr>
    </w:lvl>
  </w:abstractNum>
  <w:abstractNum w:abstractNumId="2798482">
    <w:lvl>
      <w:start w:val="1"/>
      <w:numFmt w:val="decimal"/>
      <w:suff w:val="tab"/>
      <w:lvlText w:val="%1."/>
      <w:rPr>
        <w:color w:val="3370ff"/>
      </w:rPr>
    </w:lvl>
  </w:abstractNum>
  <w:abstractNum w:abstractNumId="2798483">
    <w:lvl>
      <w:numFmt w:val="bullet"/>
      <w:suff w:val="tab"/>
      <w:lvlText w:val="￮"/>
      <w:rPr>
        <w:color w:val="3370ff"/>
      </w:rPr>
    </w:lvl>
  </w:abstractNum>
  <w:abstractNum w:abstractNumId="2798484">
    <w:lvl>
      <w:numFmt w:val="bullet"/>
      <w:suff w:val="tab"/>
      <w:lvlText w:val="￮"/>
      <w:rPr>
        <w:color w:val="3370ff"/>
      </w:rPr>
    </w:lvl>
  </w:abstractNum>
  <w:abstractNum w:abstractNumId="2798485">
    <w:lvl>
      <w:start w:val="2"/>
      <w:numFmt w:val="decimal"/>
      <w:suff w:val="tab"/>
      <w:lvlText w:val="%1."/>
      <w:rPr>
        <w:color w:val="3370ff"/>
      </w:rPr>
    </w:lvl>
  </w:abstractNum>
  <w:abstractNum w:abstractNumId="2798486">
    <w:lvl>
      <w:numFmt w:val="bullet"/>
      <w:suff w:val="tab"/>
      <w:lvlText w:val="￮"/>
      <w:rPr>
        <w:color w:val="3370ff"/>
      </w:rPr>
    </w:lvl>
  </w:abstractNum>
  <w:abstractNum w:abstractNumId="2798487">
    <w:lvl>
      <w:numFmt w:val="bullet"/>
      <w:suff w:val="tab"/>
      <w:lvlText w:val="￮"/>
      <w:rPr>
        <w:color w:val="3370ff"/>
      </w:rPr>
    </w:lvl>
  </w:abstractNum>
  <w:abstractNum w:abstractNumId="2798488">
    <w:lvl>
      <w:start w:val="3"/>
      <w:numFmt w:val="decimal"/>
      <w:suff w:val="tab"/>
      <w:lvlText w:val="%1."/>
      <w:rPr>
        <w:color w:val="3370ff"/>
      </w:rPr>
    </w:lvl>
  </w:abstractNum>
  <w:abstractNum w:abstractNumId="2798489">
    <w:lvl>
      <w:numFmt w:val="bullet"/>
      <w:suff w:val="tab"/>
      <w:lvlText w:val="￮"/>
      <w:rPr>
        <w:color w:val="3370ff"/>
      </w:rPr>
    </w:lvl>
  </w:abstractNum>
  <w:abstractNum w:abstractNumId="2798490">
    <w:lvl>
      <w:numFmt w:val="bullet"/>
      <w:suff w:val="tab"/>
      <w:lvlText w:val="￮"/>
      <w:rPr>
        <w:color w:val="3370ff"/>
      </w:rPr>
    </w:lvl>
  </w:abstractNum>
  <w:abstractNum w:abstractNumId="2798491">
    <w:lvl>
      <w:start w:val="1"/>
      <w:numFmt w:val="decimal"/>
      <w:suff w:val="tab"/>
      <w:lvlText w:val="%1."/>
      <w:rPr>
        <w:color w:val="3370ff"/>
      </w:rPr>
    </w:lvl>
  </w:abstractNum>
  <w:abstractNum w:abstractNumId="2798492">
    <w:lvl>
      <w:start w:val="2"/>
      <w:numFmt w:val="decimal"/>
      <w:suff w:val="tab"/>
      <w:lvlText w:val="%1."/>
      <w:rPr>
        <w:color w:val="3370ff"/>
      </w:rPr>
    </w:lvl>
  </w:abstractNum>
  <w:abstractNum w:abstractNumId="2798493">
    <w:lvl>
      <w:start w:val="3"/>
      <w:numFmt w:val="decimal"/>
      <w:suff w:val="tab"/>
      <w:lvlText w:val="%1."/>
      <w:rPr>
        <w:color w:val="3370ff"/>
      </w:rPr>
    </w:lvl>
  </w:abstractNum>
  <w:num w:numId="1">
    <w:abstractNumId w:val="2798467"/>
  </w:num>
  <w:num w:numId="2">
    <w:abstractNumId w:val="2798468"/>
  </w:num>
  <w:num w:numId="3">
    <w:abstractNumId w:val="2798469"/>
  </w:num>
  <w:num w:numId="4">
    <w:abstractNumId w:val="2798470"/>
  </w:num>
  <w:num w:numId="5">
    <w:abstractNumId w:val="2798471"/>
  </w:num>
  <w:num w:numId="6">
    <w:abstractNumId w:val="2798472"/>
  </w:num>
  <w:num w:numId="7">
    <w:abstractNumId w:val="2798473"/>
  </w:num>
  <w:num w:numId="8">
    <w:abstractNumId w:val="2798474"/>
  </w:num>
  <w:num w:numId="9">
    <w:abstractNumId w:val="2798475"/>
  </w:num>
  <w:num w:numId="10">
    <w:abstractNumId w:val="2798476"/>
  </w:num>
  <w:num w:numId="11">
    <w:abstractNumId w:val="2798477"/>
  </w:num>
  <w:num w:numId="12">
    <w:abstractNumId w:val="2798478"/>
  </w:num>
  <w:num w:numId="13">
    <w:abstractNumId w:val="2798479"/>
  </w:num>
  <w:num w:numId="14">
    <w:abstractNumId w:val="2798480"/>
  </w:num>
  <w:num w:numId="15">
    <w:abstractNumId w:val="2798481"/>
  </w:num>
  <w:num w:numId="16">
    <w:abstractNumId w:val="2798482"/>
  </w:num>
  <w:num w:numId="17">
    <w:abstractNumId w:val="2798483"/>
  </w:num>
  <w:num w:numId="18">
    <w:abstractNumId w:val="2798484"/>
  </w:num>
  <w:num w:numId="19">
    <w:abstractNumId w:val="2798485"/>
  </w:num>
  <w:num w:numId="20">
    <w:abstractNumId w:val="2798486"/>
  </w:num>
  <w:num w:numId="21">
    <w:abstractNumId w:val="2798487"/>
  </w:num>
  <w:num w:numId="22">
    <w:abstractNumId w:val="2798488"/>
  </w:num>
  <w:num w:numId="23">
    <w:abstractNumId w:val="2798489"/>
  </w:num>
  <w:num w:numId="24">
    <w:abstractNumId w:val="2798490"/>
  </w:num>
  <w:num w:numId="25">
    <w:abstractNumId w:val="2798491"/>
  </w:num>
  <w:num w:numId="26">
    <w:abstractNumId w:val="2798492"/>
  </w:num>
  <w:num w:numId="27">
    <w:abstractNumId w:val="27984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2026-05-30T03:13:46Z</dcterms:created>
  <dc:creator>Apache POI</dc:creator>
</cp:coreProperties>
</file>