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“文档专项智能审查”功能说明与路径描述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用户输入：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包括一切与数据的收集、流转相关的协议类的文件，包括：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数据出境相关合同</w:t>
      </w:r>
      <w:r>
        <w:rPr>
          <w:rFonts w:eastAsia="等线" w:ascii="Arial" w:cs="Arial" w:hAnsi="Arial"/>
          <w:sz w:val="22"/>
        </w:rPr>
        <w:t>：例如《数据处理协议》、《数据出境标准合同》、《云服务协议》中涉及数据处理的附件或章节、与境外接收方签订的《数据安全与保密协议》等。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对用户公开的法律文件</w:t>
      </w:r>
      <w:r>
        <w:rPr>
          <w:rFonts w:eastAsia="等线" w:ascii="Arial" w:cs="Arial" w:hAnsi="Arial"/>
          <w:sz w:val="22"/>
        </w:rPr>
        <w:t>：当前线上生效的《隐私政策》或《个人信息处理规则》。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企业内部制度</w:t>
      </w:r>
      <w:r>
        <w:rPr>
          <w:rFonts w:eastAsia="等线" w:ascii="Arial" w:cs="Arial" w:hAnsi="Arial"/>
          <w:sz w:val="22"/>
        </w:rPr>
        <w:t>：《数据安全管理制度》、《个人信息保护政策》等（用于审查内外一致性）。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《个人信息出境标准合同》样例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[个人信息出境标准合同【模板】.docx]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《数据处理协议》样例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[数据处理协议样例.pdf]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《云服务协议》样例：阿里云服务协议：</w:t>
      </w:r>
      <w:r>
        <w:rPr>
          <w:rFonts w:eastAsia="等线" w:ascii="Arial" w:cs="Arial" w:hAnsi="Arial"/>
          <w:sz w:val="22"/>
        </w:rPr>
        <w:t>https://terms.aliyun.com/legal-agreement/terms/suit_bu1_ali_cloud/suit_bu1_ali_cloud201802281451_77479.html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《数据安全与保密协议》样例：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[数据安全及保密协议（模板）.docx]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隐私政策样例：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76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系统输出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《数据出境合同（法律文件）合规审查报告》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格式</w:t>
      </w:r>
      <w:r>
        <w:rPr>
          <w:rFonts w:eastAsia="等线" w:ascii="Arial" w:cs="Arial" w:hAnsi="Arial"/>
          <w:sz w:val="22"/>
        </w:rPr>
        <w:t>：Microsoft Word 文档 (.docx)，便于用户后续编辑和批注。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内容结构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文件概要</w:t>
      </w:r>
      <w:r>
        <w:rPr>
          <w:rFonts w:eastAsia="等线" w:ascii="Arial" w:cs="Arial" w:hAnsi="Arial"/>
          <w:sz w:val="22"/>
        </w:rPr>
        <w:t>：列出已审查的文件名称、审查所依据的主要法律法规框架（如中国《个人信息保护法》、欧盟GDPR标准合同条款SCCs）。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总体合规评级</w:t>
      </w:r>
      <w:r>
        <w:rPr>
          <w:rFonts w:eastAsia="等线" w:ascii="Arial" w:cs="Arial" w:hAnsi="Arial"/>
          <w:sz w:val="22"/>
        </w:rPr>
        <w:t>：给出一个总结性判断（例如：“整体风险中等，需重点关注以下5项缺失与高风险条款”）。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条款级审查发现</w:t>
      </w:r>
      <w:r>
        <w:rPr>
          <w:rFonts w:eastAsia="等线" w:ascii="Arial" w:cs="Arial" w:hAnsi="Arial"/>
          <w:sz w:val="22"/>
        </w:rPr>
        <w:t>（报告主体）：以清单形式逐项列出问题，每项包含：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定位</w:t>
      </w:r>
      <w:r>
        <w:rPr>
          <w:rFonts w:eastAsia="等线" w:ascii="Arial" w:cs="Arial" w:hAnsi="Arial"/>
          <w:sz w:val="22"/>
        </w:rPr>
        <w:t>：问题所在的文件、章节、页码/条款号。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原文引用</w:t>
      </w:r>
      <w:r>
        <w:rPr>
          <w:rFonts w:eastAsia="等线" w:ascii="Arial" w:cs="Arial" w:hAnsi="Arial"/>
          <w:sz w:val="22"/>
        </w:rPr>
        <w:t>：摘录有问题的合同原文。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问题类型</w:t>
      </w:r>
      <w:r>
        <w:rPr>
          <w:rFonts w:eastAsia="等线" w:ascii="Arial" w:cs="Arial" w:hAnsi="Arial"/>
          <w:sz w:val="22"/>
        </w:rPr>
        <w:t>：标识为“缺失条款”、“定义模糊”、“责任限制过度”、“与法规冲突”、“与实践不一致”等。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风险分析</w:t>
      </w:r>
      <w:r>
        <w:rPr>
          <w:rFonts w:eastAsia="等线" w:ascii="Arial" w:cs="Arial" w:hAnsi="Arial"/>
          <w:sz w:val="22"/>
        </w:rPr>
        <w:t>：解释该问题可能引发的法律、商业或操作风险（例如：“此模糊表述可能导致在数据泄露时责任界定不清”）。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法规/标准依据</w:t>
      </w:r>
      <w:r>
        <w:rPr>
          <w:rFonts w:eastAsia="等线" w:ascii="Arial" w:cs="Arial" w:hAnsi="Arial"/>
          <w:sz w:val="22"/>
        </w:rPr>
        <w:t>：引用相关的法律法规条文、监管要求或行业最佳实践。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修改建议</w:t>
      </w:r>
      <w:r>
        <w:rPr>
          <w:rFonts w:eastAsia="等线" w:ascii="Arial" w:cs="Arial" w:hAnsi="Arial"/>
          <w:sz w:val="22"/>
        </w:rPr>
        <w:t>：提供具体的、可供参考的修改文本或新增条款草案。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输出依据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 xml:space="preserve">一、 核心法律（上位法依据） 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二、 部门规章与规范性文件（直接审查标准） 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 xml:space="preserve">三、 国家标准（术语定义与安全要求依据） </w:t>
      </w:r>
      <w:bookmarkEnd w:id="5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四、 官方指南与模板（格式与解释依据） </w:t>
      </w:r>
      <w:bookmarkEnd w:id="6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77967">
    <w:lvl>
      <w:numFmt w:val="bullet"/>
      <w:suff w:val="tab"/>
      <w:lvlText w:val="•"/>
      <w:rPr>
        <w:color w:val="3370ff"/>
      </w:rPr>
    </w:lvl>
  </w:abstractNum>
  <w:abstractNum w:abstractNumId="1977968">
    <w:lvl>
      <w:numFmt w:val="bullet"/>
      <w:suff w:val="tab"/>
      <w:lvlText w:val="•"/>
      <w:rPr>
        <w:color w:val="3370ff"/>
      </w:rPr>
    </w:lvl>
  </w:abstractNum>
  <w:abstractNum w:abstractNumId="1977969">
    <w:lvl>
      <w:numFmt w:val="bullet"/>
      <w:suff w:val="tab"/>
      <w:lvlText w:val="￮"/>
      <w:rPr>
        <w:color w:val="3370ff"/>
      </w:rPr>
    </w:lvl>
  </w:abstractNum>
  <w:abstractNum w:abstractNumId="1977970">
    <w:lvl>
      <w:numFmt w:val="bullet"/>
      <w:suff w:val="tab"/>
      <w:lvlText w:val="￮"/>
      <w:rPr>
        <w:color w:val="3370ff"/>
      </w:rPr>
    </w:lvl>
  </w:abstractNum>
  <w:abstractNum w:abstractNumId="1977971">
    <w:lvl>
      <w:numFmt w:val="bullet"/>
      <w:suff w:val="tab"/>
      <w:lvlText w:val="￮"/>
      <w:rPr>
        <w:color w:val="3370ff"/>
      </w:rPr>
    </w:lvl>
  </w:abstractNum>
  <w:abstractNum w:abstractNumId="1977972">
    <w:lvl>
      <w:numFmt w:val="bullet"/>
      <w:suff w:val="tab"/>
      <w:lvlText w:val="▪"/>
      <w:rPr>
        <w:color w:val="3370ff"/>
        <w:sz w:val="11"/>
      </w:rPr>
    </w:lvl>
  </w:abstractNum>
  <w:abstractNum w:abstractNumId="1977973">
    <w:lvl>
      <w:numFmt w:val="bullet"/>
      <w:suff w:val="tab"/>
      <w:lvlText w:val="▪"/>
      <w:rPr>
        <w:color w:val="3370ff"/>
        <w:sz w:val="11"/>
      </w:rPr>
    </w:lvl>
  </w:abstractNum>
  <w:abstractNum w:abstractNumId="1977974">
    <w:lvl>
      <w:numFmt w:val="bullet"/>
      <w:suff w:val="tab"/>
      <w:lvlText w:val="▪"/>
      <w:rPr>
        <w:color w:val="3370ff"/>
        <w:sz w:val="11"/>
      </w:rPr>
    </w:lvl>
  </w:abstractNum>
  <w:abstractNum w:abstractNumId="1977975">
    <w:lvl>
      <w:numFmt w:val="bullet"/>
      <w:suff w:val="tab"/>
      <w:lvlText w:val="▪"/>
      <w:rPr>
        <w:color w:val="3370ff"/>
        <w:sz w:val="11"/>
      </w:rPr>
    </w:lvl>
  </w:abstractNum>
  <w:abstractNum w:abstractNumId="1977976">
    <w:lvl>
      <w:numFmt w:val="bullet"/>
      <w:suff w:val="tab"/>
      <w:lvlText w:val="▪"/>
      <w:rPr>
        <w:color w:val="3370ff"/>
        <w:sz w:val="11"/>
      </w:rPr>
    </w:lvl>
  </w:abstractNum>
  <w:abstractNum w:abstractNumId="1977977">
    <w:lvl>
      <w:numFmt w:val="bullet"/>
      <w:suff w:val="tab"/>
      <w:lvlText w:val="▪"/>
      <w:rPr>
        <w:color w:val="3370ff"/>
        <w:sz w:val="11"/>
      </w:rPr>
    </w:lvl>
  </w:abstractNum>
  <w:num w:numId="1">
    <w:abstractNumId w:val="1977967"/>
  </w:num>
  <w:num w:numId="2">
    <w:abstractNumId w:val="1977968"/>
  </w:num>
  <w:num w:numId="3">
    <w:abstractNumId w:val="1977969"/>
  </w:num>
  <w:num w:numId="4">
    <w:abstractNumId w:val="1977970"/>
  </w:num>
  <w:num w:numId="5">
    <w:abstractNumId w:val="1977971"/>
  </w:num>
  <w:num w:numId="6">
    <w:abstractNumId w:val="1977972"/>
  </w:num>
  <w:num w:numId="7">
    <w:abstractNumId w:val="1977973"/>
  </w:num>
  <w:num w:numId="8">
    <w:abstractNumId w:val="1977974"/>
  </w:num>
  <w:num w:numId="9">
    <w:abstractNumId w:val="1977975"/>
  </w:num>
  <w:num w:numId="10">
    <w:abstractNumId w:val="1977976"/>
  </w:num>
  <w:num w:numId="11">
    <w:abstractNumId w:val="19779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2026-05-30T03:22:02Z</dcterms:created>
  <dc:creator>Apache POI</dc:creator>
</cp:coreProperties>
</file>