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“BCR审核”测试案例及预期输出</w:t>
      </w:r>
    </w:p>
    <w:p>
      <w:pPr>
        <w:pStyle w:val="3"/>
        <w:spacing w:before="300" w:after="120" w:line="288" w:lineRule="auto"/>
        <w:ind w:left="0"/>
        <w:jc w:val="left"/>
        <w:outlineLvl w:val="2"/>
      </w:pPr>
      <w:bookmarkStart w:name="heading_0" w:id="0"/>
      <w:r>
        <w:rPr>
          <w:rFonts w:eastAsia="等线" w:ascii="Arial" w:cs="Arial" w:hAnsi="Arial"/>
          <w:b w:val="true"/>
          <w:sz w:val="30"/>
        </w:rPr>
        <w:t xml:space="preserve">测试案例一：基本合规但存在中风险问题的BCR-C </w:t>
      </w:r>
      <w:bookmarkEnd w:id="0"/>
    </w:p>
    <w:p>
      <w:pPr>
        <w:spacing w:before="120" w:after="120" w:line="288" w:lineRule="auto"/>
        <w:ind w:left="0"/>
        <w:jc w:val="left"/>
      </w:pPr>
      <w:r>
        <w:rPr>
          <w:rFonts w:eastAsia="等线" w:ascii="Arial" w:cs="Arial" w:hAnsi="Arial"/>
          <w:b w:val="true"/>
          <w:sz w:val="22"/>
        </w:rPr>
        <w:t>场景</w:t>
      </w:r>
      <w:r>
        <w:rPr>
          <w:rFonts w:eastAsia="等线" w:ascii="Arial" w:cs="Arial" w:hAnsi="Arial"/>
          <w:sz w:val="22"/>
        </w:rPr>
        <w:t>：“全球科技集团”（GlobalTech Inc.）是一家总部位于爱尔兰都柏林的跨国科技公司，业务遍及欧盟、美国、印度和新加坡。集团拟申请BCR-C，以规范其内部从欧盟实体向非充分性认定国家（如美国、印度）的数据传输。BCR文档结构完整，但存在几处中风险缺陷。</w:t>
      </w:r>
    </w:p>
    <w:p>
      <w:pPr>
        <w:spacing w:before="120" w:after="120" w:line="288" w:lineRule="auto"/>
        <w:ind w:left="0"/>
        <w:jc w:val="left"/>
      </w:pPr>
      <w:r>
        <w:rPr>
          <w:rFonts w:eastAsia="等线" w:ascii="Arial" w:cs="Arial" w:hAnsi="Arial"/>
          <w:b w:val="true"/>
          <w:sz w:val="22"/>
        </w:rPr>
        <w:t>植入的风险点</w:t>
      </w:r>
      <w:r>
        <w:rPr>
          <w:rFonts w:eastAsia="等线" w:ascii="Arial" w:cs="Arial" w:hAnsi="Arial"/>
          <w:sz w:val="22"/>
        </w:rPr>
        <w:t>：</w:t>
      </w:r>
    </w:p>
    <w:p>
      <w:pPr>
        <w:numPr>
          <w:numId w:val="1"/>
        </w:numPr>
        <w:spacing w:before="120" w:after="120" w:line="288" w:lineRule="auto"/>
        <w:ind w:left="0"/>
        <w:jc w:val="left"/>
      </w:pPr>
      <w:r>
        <w:rPr>
          <w:rFonts w:eastAsia="等线" w:ascii="Arial" w:cs="Arial" w:hAnsi="Arial"/>
          <w:b w:val="true"/>
          <w:sz w:val="22"/>
        </w:rPr>
        <w:t>第三国法律评估（TIA）描述笼统</w:t>
      </w:r>
      <w:r>
        <w:rPr>
          <w:rFonts w:eastAsia="等线" w:ascii="Arial" w:cs="Arial" w:hAnsi="Arial"/>
          <w:sz w:val="22"/>
        </w:rPr>
        <w:t>：文档中仅承诺会进行评估，但未详细说明评估方法、频率、责任方，也未明确提及EDPB建议01/2020的“六步法”。</w:t>
      </w:r>
    </w:p>
    <w:p>
      <w:pPr>
        <w:numPr>
          <w:numId w:val="2"/>
        </w:numPr>
        <w:spacing w:before="120" w:after="120" w:line="288" w:lineRule="auto"/>
        <w:ind w:left="0"/>
        <w:jc w:val="left"/>
      </w:pPr>
      <w:r>
        <w:rPr>
          <w:rFonts w:eastAsia="等线" w:ascii="Arial" w:cs="Arial" w:hAnsi="Arial"/>
          <w:b w:val="true"/>
          <w:sz w:val="22"/>
        </w:rPr>
        <w:t>数据主体权利可执行性机制模糊</w:t>
      </w:r>
      <w:r>
        <w:rPr>
          <w:rFonts w:eastAsia="等线" w:ascii="Arial" w:cs="Arial" w:hAnsi="Arial"/>
          <w:sz w:val="22"/>
        </w:rPr>
        <w:t>：虽然规定了数据主体权利，但关于如何行使这些权利（特别是向欧盟责任主体投诉）的流程描述不够具体，未明确响应时限和上诉机制。</w:t>
      </w:r>
    </w:p>
    <w:p>
      <w:pPr>
        <w:numPr>
          <w:numId w:val="3"/>
        </w:numPr>
        <w:spacing w:before="120" w:after="120" w:line="288" w:lineRule="auto"/>
        <w:ind w:left="0"/>
        <w:jc w:val="left"/>
      </w:pPr>
      <w:r>
        <w:rPr>
          <w:rFonts w:eastAsia="等线" w:ascii="Arial" w:cs="Arial" w:hAnsi="Arial"/>
          <w:b w:val="true"/>
          <w:sz w:val="22"/>
        </w:rPr>
        <w:t>向集团外传输（Onward Transfer）限制不明确</w:t>
      </w:r>
      <w:r>
        <w:rPr>
          <w:rFonts w:eastAsia="等线" w:ascii="Arial" w:cs="Arial" w:hAnsi="Arial"/>
          <w:sz w:val="22"/>
        </w:rPr>
        <w:t>：条款允许向“可信赖的合作伙伴”传输数据，但未设定必须确保“实质等同保护水平”的前提条件（如必须签订SCC）。</w:t>
      </w:r>
    </w:p>
    <w:p>
      <w:pPr>
        <w:spacing w:before="120" w:after="120" w:line="288" w:lineRule="auto"/>
        <w:ind w:left="0"/>
        <w:jc w:val="left"/>
      </w:pPr>
      <w:r>
        <w:rPr>
          <w:rFonts w:eastAsia="等线" w:ascii="Arial" w:cs="Arial" w:hAnsi="Arial"/>
          <w:b w:val="true"/>
          <w:sz w:val="22"/>
        </w:rPr>
        <w:t>提交审查的BCR-C文档全文（关键问题部分节选）</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**GLOBALTECH INC. 有约束力的公司规则（控制者）**</w:t>
              <w:br/>
              <w:t>**GlobalTech Inc. Binding Corporate Rules (Controllers)**</w:t>
              <w:br/>
              <w:t>**版本：2.0 | 生效日期：2025年11月1日**</w:t>
              <w:br/>
              <w:br/>
              <w:t>**第1章：引言与范围 (Chapter 1: Introduction and Scope)**</w:t>
              <w:br/>
              <w:t>...</w:t>
              <w:br/>
              <w:t>**第2章：定义 (Chapter 2: Definitions)**</w:t>
              <w:br/>
              <w:t>...</w:t>
              <w:br/>
              <w:t>**第3章：数据保护原则 (Chapter 3: Data Protection Principles)**</w:t>
              <w:br/>
              <w:t>...</w:t>
              <w:br/>
              <w:t>**3.5 向集团外传输 (Onward Transfers to External Parties)**</w:t>
              <w:br/>
              <w:t>集团成员可向非BCR成员的第三方（如服务提供商、合作伙伴）传输个人数据，前提是该传输为履行与数据主体的合同或实现集团合法商业利益所必需，且该第三方已承诺遵守与本BCR实质相似的数据保护义务。</w:t>
              <w:br/>
              <w:t>*GlobalTech members may transfer Personal Data to third parties outside the Group (e.g., service providers, partners), provided that such transfer is necessary for the performance of a contract with the data subject or for the purposes of the legitimate interests pursued by the Group, and such third party has committed to comply with data protection obligations substantially similar to those in these BCRs.*</w:t>
              <w:br/>
              <w:t>(问题：未明确要求第三方必须通过签订SCC等工具提供“实质等同保护水平”，仅要求“实质相似”，标准模糊。)</w:t>
              <w:br/>
              <w:br/>
              <w:t>**第4章：数据主体权利 (Chapter 4: Data Subject Rights)**</w:t>
              <w:br/>
              <w:t>...</w:t>
              <w:br/>
              <w:t>**4.7 投诉与救济 (Complaints and Redress)**</w:t>
              <w:br/>
              <w:t>数据主体如认为其权利受到侵犯，有权向集团数据保护官（DPO）网络或欧盟责任主体提出投诉。集团承诺将及时调查并回应所有投诉。</w:t>
              <w:br/>
              <w:t>*Data subjects who consider that their rights have been infringed have the right to lodge a complaint with the Group’s DPO network or the EU Responsible Entity. The Group is committed to investigating and responding to all complaints in a timely manner.*</w:t>
              <w:br/>
              <w:t>(问题：未定义“及时”的具体时限，未说明调查流程、书面回复要求，也未提及数据主体在不满内部处理结果时向监管机构投诉或寻求司法救济的权利。)</w:t>
              <w:br/>
              <w:br/>
              <w:t>**第5章：安全与数据泄露 (Chapter 5: Security and Personal Data Breaches)**</w:t>
              <w:br/>
              <w:t>...</w:t>
              <w:br/>
              <w:t>**第6章：第三国法律与实践 (Chapter 6: Third Country Laws and Practices)**</w:t>
              <w:br/>
              <w:t>**6.1 法律遵从性评估 (Assessment of Legal Compliance)**</w:t>
              <w:br/>
              <w:t>在进行任何受BCR规管的跨境数据传输前，数据输出方应评估目的地国的法律与实践是否会妨碍数据输入方履行其在本BCR下的义务。评估应考虑所有相关情况。</w:t>
              <w:br/>
              <w:t>*Prior to any cross-border data transfer governed by these BCRs, the Data Exporter shall assess whether the laws and practices in the destination third country prevent the Data Importer from fulfilling its obligations under these BCRs. The assessment shall take into account all relevant circumstances.*</w:t>
              <w:br/>
              <w:t>(问题：描述过于笼统，未提及必须遵循EDPB建议01/2020的“六步法”，未明确评估频率（如每年或发生重大法律变化时），也未规定必须记录评估结果。)</w:t>
              <w:br/>
              <w:br/>
              <w:t>**6.2 政府访问请求 (Government Access Requests)**</w:t>
              <w:br/>
              <w:t>数据输入方在收到任何具有法律约束力的政府数据披露请求时，应通知数据输出方，并在法律允许的范围内予以配合。</w:t>
              <w:br/>
              <w:t>*The Data Importer shall notify the Data Exporter upon receipt of any legally binding request for disclosure of Personal Data by a public authority and shall cooperate therewith to the extent permitted by law.*</w:t>
              <w:br/>
              <w:t>(问题：通知义务被弱化为“在法律允许的范围内”，未要求“立即”或“尽可能及时”通知，也未要求数据输入方质疑非法或过度的请求。)</w:t>
              <w:br/>
              <w:br/>
              <w:t>**第7章：责任与赔偿 (Chapter 7: Liability and Compensation)**</w:t>
              <w:br/>
              <w:t>**7.1 责任主体 (Liable Entity)**</w:t>
              <w:br/>
              <w:t>GlobalTech Group Holdings Ltd（注册于爱尔兰都柏林）作为本BCR的欧盟责任主体，同意为任何受本BCR约束的非欧盟成员违反本BCR的行为，向数据主体承担赔偿责任。</w:t>
              <w:br/>
              <w:t>*GlobalTech Group Holdings Ltd (incorporated in Dublin, Ireland) as the EU Responsible Entity under these BCRs, agrees to be liable to data subjects for any damages resulting from a breach of these BCRs by any BCR member not established in the Union.*</w:t>
              <w:br/>
              <w:t>(此部分正确)</w:t>
              <w:br/>
              <w:br/>
              <w:t>**第8章：监督与执行 (Chapter 8: Supervision and Enforcement)**</w:t>
              <w:br/>
              <w:t>...</w:t>
              <w:br/>
              <w:t>**第9章：第三方受益人权利 (Chapter 9: Third-Party Beneficiary Rights)**</w:t>
              <w:br/>
              <w:t>数据主体享有本BCR第3章（数据保护原则）、第4章（数据主体权利）及第7章（责任与赔偿）所载权利的第三方受益人权利，并可直接向第7.1条指定的欧盟责任主体主张这些权利。</w:t>
              <w:br/>
              <w:t>*Data subjects are granted third-party beneficiary rights to enforce the provisions of Chapter 3 (Data Protection Principles), Chapter 4 (Data Subject Rights), and Chapter 7 (Liability and Compensation) of these BCRs, and may directly enforce these rights against the EU Responsible Entity designated in Section 7.1.*</w:t>
              <w:br/>
              <w:t>(此部分正确)</w:t>
              <w:br/>
              <w:br/>
              <w:t>**附件I：集团成员名单 (Annex I: List of BCR Members)**</w:t>
              <w:br/>
              <w:t>...</w:t>
              <w:br/>
              <w:t>**附件II：内部约束机制 (Annex II: Internal Binding Mechanism)**</w:t>
              <w:br/>
              <w:t>本BCR通过《全球数据保护协议》（Global Data Protection Agreement）对集团所有成员具有法律约束力，该协议由各成员董事会级别代表签署。</w:t>
              <w:br/>
              <w:t>*These BCRs are made legally binding on all Group members through the Global Data Protection Agreement, executed at board level by each member.*</w:t>
              <w:br/>
            </w:r>
            <w:r>
              <w:rPr>
                <w:rFonts w:eastAsia="Consolas" w:ascii="Consolas" w:cs="Consolas" w:hAnsi="Consolas"/>
                <w:sz w:val="22"/>
              </w:rPr>
              <w:t>(此部分正确)</w:t>
            </w:r>
          </w:p>
        </w:tc>
      </w:tr>
    </w:tbl>
    <w:p>
      <w:pPr>
        <w:spacing w:before="120" w:after="120" w:line="288" w:lineRule="auto"/>
        <w:ind w:left="0"/>
        <w:jc w:val="left"/>
      </w:pPr>
      <w:r>
        <w:rPr>
          <w:rFonts w:eastAsia="等线" w:ascii="Arial" w:cs="Arial" w:hAnsi="Arial"/>
          <w:b w:val="true"/>
          <w:sz w:val="22"/>
        </w:rPr>
        <w:t>预期输出（《BCR-C合规审查报告》核心发现）</w:t>
      </w:r>
      <w:r>
        <w:rPr>
          <w:rFonts w:eastAsia="等线" w:ascii="Arial" w:cs="Arial" w:hAnsi="Arial"/>
          <w:sz w:val="22"/>
        </w:rPr>
        <w:t>：</w:t>
      </w:r>
    </w:p>
    <w:p>
      <w:pPr>
        <w:numPr>
          <w:numId w:val="4"/>
        </w:numPr>
        <w:spacing w:before="120" w:after="120" w:line="288" w:lineRule="auto"/>
        <w:ind w:left="0"/>
        <w:jc w:val="left"/>
      </w:pPr>
      <w:r>
        <w:rPr>
          <w:rFonts w:eastAsia="等线" w:ascii="Arial" w:cs="Arial" w:hAnsi="Arial"/>
          <w:b w:val="true"/>
          <w:sz w:val="22"/>
        </w:rPr>
        <w:t>总体合规评级</w:t>
      </w:r>
      <w:r>
        <w:rPr>
          <w:rFonts w:eastAsia="等线" w:ascii="Arial" w:cs="Arial" w:hAnsi="Arial"/>
          <w:sz w:val="22"/>
        </w:rPr>
        <w:t>：</w:t>
      </w:r>
      <w:r>
        <w:rPr>
          <w:rFonts w:eastAsia="等线" w:ascii="Arial" w:cs="Arial" w:hAnsi="Arial"/>
          <w:b w:val="true"/>
          <w:sz w:val="22"/>
        </w:rPr>
        <w:t>部分缺失</w:t>
      </w:r>
      <w:r>
        <w:rPr>
          <w:rFonts w:eastAsia="等线" w:ascii="Arial" w:cs="Arial" w:hAnsi="Arial"/>
          <w:sz w:val="22"/>
        </w:rPr>
        <w:t>。文档结构完整，包含了法律约束力、责任主体、第三方受益人权利等核心要素，但在</w:t>
      </w:r>
      <w:r>
        <w:rPr>
          <w:rFonts w:eastAsia="等线" w:ascii="Arial" w:cs="Arial" w:hAnsi="Arial"/>
          <w:b w:val="true"/>
          <w:sz w:val="22"/>
        </w:rPr>
        <w:t>第三国法律评估（TIA）</w:t>
      </w:r>
      <w:r>
        <w:rPr>
          <w:rFonts w:eastAsia="等线" w:ascii="Arial" w:cs="Arial" w:hAnsi="Arial"/>
          <w:sz w:val="22"/>
        </w:rPr>
        <w:t>、</w:t>
      </w:r>
      <w:r>
        <w:rPr>
          <w:rFonts w:eastAsia="等线" w:ascii="Arial" w:cs="Arial" w:hAnsi="Arial"/>
          <w:b w:val="true"/>
          <w:sz w:val="22"/>
        </w:rPr>
        <w:t>数据主体投诉流程</w:t>
      </w:r>
      <w:r>
        <w:rPr>
          <w:rFonts w:eastAsia="等线" w:ascii="Arial" w:cs="Arial" w:hAnsi="Arial"/>
          <w:sz w:val="22"/>
        </w:rPr>
        <w:t>和</w:t>
      </w:r>
      <w:r>
        <w:rPr>
          <w:rFonts w:eastAsia="等线" w:ascii="Arial" w:cs="Arial" w:hAnsi="Arial"/>
          <w:b w:val="true"/>
          <w:sz w:val="22"/>
        </w:rPr>
        <w:t>向集团外传输限制</w:t>
      </w:r>
      <w:r>
        <w:rPr>
          <w:rFonts w:eastAsia="等线" w:ascii="Arial" w:cs="Arial" w:hAnsi="Arial"/>
          <w:sz w:val="22"/>
        </w:rPr>
        <w:t>方面存在关键内容缺失或表述模糊，需重点补充。</w:t>
      </w:r>
    </w:p>
    <w:p>
      <w:pPr>
        <w:numPr>
          <w:numId w:val="5"/>
        </w:numPr>
        <w:spacing w:before="120" w:after="120" w:line="288" w:lineRule="auto"/>
        <w:ind w:left="0"/>
        <w:jc w:val="left"/>
      </w:pPr>
      <w:r>
        <w:rPr>
          <w:rFonts w:eastAsia="等线" w:ascii="Arial" w:cs="Arial" w:hAnsi="Arial"/>
          <w:b w:val="true"/>
          <w:sz w:val="22"/>
        </w:rPr>
        <w:t>主要发现摘要</w:t>
      </w:r>
      <w:r>
        <w:rPr>
          <w:rFonts w:eastAsia="等线" w:ascii="Arial" w:cs="Arial" w:hAnsi="Arial"/>
          <w:sz w:val="22"/>
        </w:rPr>
        <w:t>：</w:t>
      </w:r>
    </w:p>
    <w:p>
      <w:pPr>
        <w:numPr>
          <w:numId w:val="6"/>
        </w:numPr>
        <w:spacing w:before="120" w:after="120" w:line="288" w:lineRule="auto"/>
        <w:ind w:left="453"/>
        <w:jc w:val="left"/>
      </w:pPr>
      <w:r>
        <w:rPr>
          <w:rFonts w:eastAsia="等线" w:ascii="Arial" w:cs="Arial" w:hAnsi="Arial"/>
          <w:sz w:val="22"/>
        </w:rPr>
        <w:t>发现的问题总数：</w:t>
      </w:r>
      <w:r>
        <w:rPr>
          <w:rFonts w:eastAsia="等线" w:ascii="Arial" w:cs="Arial" w:hAnsi="Arial"/>
          <w:b w:val="true"/>
          <w:sz w:val="22"/>
        </w:rPr>
        <w:t>3个中风险问题</w:t>
      </w:r>
      <w:r>
        <w:rPr>
          <w:rFonts w:eastAsia="等线" w:ascii="Arial" w:cs="Arial" w:hAnsi="Arial"/>
          <w:sz w:val="22"/>
        </w:rPr>
        <w:t>。</w:t>
      </w:r>
    </w:p>
    <w:p>
      <w:pPr>
        <w:numPr>
          <w:numId w:val="7"/>
        </w:numPr>
        <w:spacing w:before="120" w:after="120" w:line="288" w:lineRule="auto"/>
        <w:ind w:left="453"/>
        <w:jc w:val="left"/>
      </w:pPr>
      <w:r>
        <w:rPr>
          <w:rFonts w:eastAsia="等线" w:ascii="Arial" w:cs="Arial" w:hAnsi="Arial"/>
          <w:sz w:val="22"/>
        </w:rPr>
        <w:t>高风险问题数量：</w:t>
      </w:r>
      <w:r>
        <w:rPr>
          <w:rFonts w:eastAsia="等线" w:ascii="Arial" w:cs="Arial" w:hAnsi="Arial"/>
          <w:b w:val="true"/>
          <w:sz w:val="22"/>
        </w:rPr>
        <w:t>0个</w:t>
      </w:r>
      <w:r>
        <w:rPr>
          <w:rFonts w:eastAsia="等线" w:ascii="Arial" w:cs="Arial" w:hAnsi="Arial"/>
          <w:sz w:val="22"/>
        </w:rPr>
        <w:t>。</w:t>
      </w:r>
    </w:p>
    <w:p>
      <w:pPr>
        <w:numPr>
          <w:numId w:val="8"/>
        </w:numPr>
        <w:spacing w:before="120" w:after="120" w:line="288" w:lineRule="auto"/>
        <w:ind w:left="0"/>
        <w:jc w:val="left"/>
      </w:pPr>
      <w:r>
        <w:rPr>
          <w:rFonts w:eastAsia="等线" w:ascii="Arial" w:cs="Arial" w:hAnsi="Arial"/>
          <w:b w:val="true"/>
          <w:sz w:val="22"/>
        </w:rPr>
        <w:t>条款级审查发现（示例）</w:t>
      </w:r>
      <w:r>
        <w:rPr>
          <w:rFonts w:eastAsia="等线" w:ascii="Arial" w:cs="Arial" w:hAnsi="Arial"/>
          <w:sz w:val="22"/>
        </w:rPr>
        <w:t>：</w:t>
      </w:r>
    </w:p>
    <w:p>
      <w:pPr>
        <w:numPr>
          <w:numId w:val="9"/>
        </w:numPr>
        <w:spacing w:before="120" w:after="120" w:line="288" w:lineRule="auto"/>
        <w:ind w:left="453"/>
        <w:jc w:val="left"/>
      </w:pPr>
      <w:r>
        <w:rPr>
          <w:rFonts w:eastAsia="等线" w:ascii="Arial" w:cs="Arial" w:hAnsi="Arial"/>
          <w:b w:val="true"/>
          <w:sz w:val="22"/>
        </w:rPr>
        <w:t>定位</w:t>
      </w:r>
      <w:r>
        <w:rPr>
          <w:rFonts w:eastAsia="等线" w:ascii="Arial" w:cs="Arial" w:hAnsi="Arial"/>
          <w:sz w:val="22"/>
        </w:rPr>
        <w:t>：第3.5条（向集团外传输）。</w:t>
      </w:r>
    </w:p>
    <w:p>
      <w:pPr>
        <w:numPr>
          <w:numId w:val="10"/>
        </w:numPr>
        <w:spacing w:before="120" w:after="120" w:line="288" w:lineRule="auto"/>
        <w:ind w:left="453"/>
        <w:jc w:val="left"/>
      </w:pPr>
      <w:r>
        <w:rPr>
          <w:rFonts w:eastAsia="等线" w:ascii="Arial" w:cs="Arial" w:hAnsi="Arial"/>
          <w:b w:val="true"/>
          <w:sz w:val="22"/>
        </w:rPr>
        <w:t>审查结果</w:t>
      </w:r>
      <w:r>
        <w:rPr>
          <w:rFonts w:eastAsia="等线" w:ascii="Arial" w:cs="Arial" w:hAnsi="Arial"/>
          <w:sz w:val="22"/>
        </w:rPr>
        <w:t>：</w:t>
      </w:r>
      <w:r>
        <w:rPr>
          <w:rFonts w:eastAsia="等线" w:ascii="Arial" w:cs="Arial" w:hAnsi="Arial"/>
          <w:b w:val="true"/>
          <w:sz w:val="22"/>
        </w:rPr>
        <w:t>模糊</w:t>
      </w:r>
      <w:r>
        <w:rPr>
          <w:rFonts w:eastAsia="等线" w:ascii="Arial" w:cs="Arial" w:hAnsi="Arial"/>
          <w:sz w:val="22"/>
        </w:rPr>
        <w:t>。</w:t>
      </w:r>
    </w:p>
    <w:p>
      <w:pPr>
        <w:numPr>
          <w:numId w:val="11"/>
        </w:numPr>
        <w:spacing w:before="120" w:after="120" w:line="288" w:lineRule="auto"/>
        <w:ind w:left="453"/>
        <w:jc w:val="left"/>
      </w:pPr>
      <w:r>
        <w:rPr>
          <w:rFonts w:eastAsia="等线" w:ascii="Arial" w:cs="Arial" w:hAnsi="Arial"/>
          <w:b w:val="true"/>
          <w:sz w:val="22"/>
        </w:rPr>
        <w:t>问题描述</w:t>
      </w:r>
      <w:r>
        <w:rPr>
          <w:rFonts w:eastAsia="等线" w:ascii="Arial" w:cs="Arial" w:hAnsi="Arial"/>
          <w:sz w:val="22"/>
        </w:rPr>
        <w:t>：条款允许向第三方传输数据的前提是第三方承诺遵守“实质相似”的义务。此表述未明确要求必须确保第三方提供与GDPR“实质等同”的保护水平，也未规定必须使用欧盟委员会通过的标准合同条款（SCCs）等经批准的传输工具，存在合规风险。</w:t>
      </w:r>
    </w:p>
    <w:p>
      <w:pPr>
        <w:numPr>
          <w:numId w:val="12"/>
        </w:numPr>
        <w:spacing w:before="120" w:after="120" w:line="288" w:lineRule="auto"/>
        <w:ind w:left="453"/>
        <w:jc w:val="left"/>
      </w:pPr>
      <w:r>
        <w:rPr>
          <w:rFonts w:eastAsia="等线" w:ascii="Arial" w:cs="Arial" w:hAnsi="Arial"/>
          <w:b w:val="true"/>
          <w:sz w:val="22"/>
        </w:rPr>
        <w:t>改进建议</w:t>
      </w:r>
      <w:r>
        <w:rPr>
          <w:rFonts w:eastAsia="等线" w:ascii="Arial" w:cs="Arial" w:hAnsi="Arial"/>
          <w:sz w:val="22"/>
        </w:rPr>
        <w:t>：修改为：“...且该第三方已通过签订包含欧盟委员会通过的标准合同条款（SCCs）的协议，或通过其他提供与GDPR实质等同保护水平的适当保障措施，承诺保护个人数据。”</w:t>
      </w:r>
    </w:p>
    <w:p>
      <w:pPr>
        <w:numPr>
          <w:numId w:val="13"/>
        </w:numPr>
        <w:spacing w:before="120" w:after="120" w:line="288" w:lineRule="auto"/>
        <w:ind w:left="453"/>
        <w:jc w:val="left"/>
      </w:pPr>
      <w:r>
        <w:rPr>
          <w:rFonts w:eastAsia="等线" w:ascii="Arial" w:cs="Arial" w:hAnsi="Arial"/>
          <w:b w:val="true"/>
          <w:sz w:val="22"/>
        </w:rPr>
        <w:t>定位</w:t>
      </w:r>
      <w:r>
        <w:rPr>
          <w:rFonts w:eastAsia="等线" w:ascii="Arial" w:cs="Arial" w:hAnsi="Arial"/>
          <w:sz w:val="22"/>
        </w:rPr>
        <w:t>：第4.7条（投诉与救济）。</w:t>
      </w:r>
    </w:p>
    <w:p>
      <w:pPr>
        <w:numPr>
          <w:numId w:val="14"/>
        </w:numPr>
        <w:spacing w:before="120" w:after="120" w:line="288" w:lineRule="auto"/>
        <w:ind w:left="453"/>
        <w:jc w:val="left"/>
      </w:pPr>
      <w:r>
        <w:rPr>
          <w:rFonts w:eastAsia="等线" w:ascii="Arial" w:cs="Arial" w:hAnsi="Arial"/>
          <w:b w:val="true"/>
          <w:sz w:val="22"/>
        </w:rPr>
        <w:t>审查结果</w:t>
      </w:r>
      <w:r>
        <w:rPr>
          <w:rFonts w:eastAsia="等线" w:ascii="Arial" w:cs="Arial" w:hAnsi="Arial"/>
          <w:sz w:val="22"/>
        </w:rPr>
        <w:t>：</w:t>
      </w:r>
      <w:r>
        <w:rPr>
          <w:rFonts w:eastAsia="等线" w:ascii="Arial" w:cs="Arial" w:hAnsi="Arial"/>
          <w:b w:val="true"/>
          <w:sz w:val="22"/>
        </w:rPr>
        <w:t>不具体</w:t>
      </w:r>
      <w:r>
        <w:rPr>
          <w:rFonts w:eastAsia="等线" w:ascii="Arial" w:cs="Arial" w:hAnsi="Arial"/>
          <w:sz w:val="22"/>
        </w:rPr>
        <w:t>。</w:t>
      </w:r>
    </w:p>
    <w:p>
      <w:pPr>
        <w:numPr>
          <w:numId w:val="15"/>
        </w:numPr>
        <w:spacing w:before="120" w:after="120" w:line="288" w:lineRule="auto"/>
        <w:ind w:left="453"/>
        <w:jc w:val="left"/>
      </w:pPr>
      <w:r>
        <w:rPr>
          <w:rFonts w:eastAsia="等线" w:ascii="Arial" w:cs="Arial" w:hAnsi="Arial"/>
          <w:b w:val="true"/>
          <w:sz w:val="22"/>
        </w:rPr>
        <w:t>问题描述</w:t>
      </w:r>
      <w:r>
        <w:rPr>
          <w:rFonts w:eastAsia="等线" w:ascii="Arial" w:cs="Arial" w:hAnsi="Arial"/>
          <w:sz w:val="22"/>
        </w:rPr>
        <w:t>：投诉处理机制描述过于笼统，未规定具体的响应时限、调查步骤、书面回复要求，也未明确告知数据主体在不满内部处理结果时有权向监管机构投诉或寻求司法救济。</w:t>
      </w:r>
    </w:p>
    <w:p>
      <w:pPr>
        <w:numPr>
          <w:numId w:val="16"/>
        </w:numPr>
        <w:spacing w:before="120" w:after="120" w:line="288" w:lineRule="auto"/>
        <w:ind w:left="453"/>
        <w:jc w:val="left"/>
      </w:pPr>
      <w:r>
        <w:rPr>
          <w:rFonts w:eastAsia="等线" w:ascii="Arial" w:cs="Arial" w:hAnsi="Arial"/>
          <w:b w:val="true"/>
          <w:sz w:val="22"/>
        </w:rPr>
        <w:t>改进建议</w:t>
      </w:r>
      <w:r>
        <w:rPr>
          <w:rFonts w:eastAsia="等线" w:ascii="Arial" w:cs="Arial" w:hAnsi="Arial"/>
          <w:sz w:val="22"/>
        </w:rPr>
        <w:t>：增加具体流程，例如：“集团承诺在收到投诉后</w:t>
      </w:r>
      <w:r>
        <w:rPr>
          <w:rFonts w:eastAsia="等线" w:ascii="Arial" w:cs="Arial" w:hAnsi="Arial"/>
          <w:b w:val="true"/>
          <w:sz w:val="22"/>
        </w:rPr>
        <w:t>一个月内</w:t>
      </w:r>
      <w:r>
        <w:rPr>
          <w:rFonts w:eastAsia="等线" w:ascii="Arial" w:cs="Arial" w:hAnsi="Arial"/>
          <w:sz w:val="22"/>
        </w:rPr>
        <w:t>进行调查并给予实质性回复。回复应为书面形式。数据主体若对处理结果不满意，有权向其常居地、工作地或涉嫌侵权行为发生地的欧盟成员国数据保护机构投诉，或向有管辖权的法院提起诉讼。”</w:t>
      </w:r>
    </w:p>
    <w:p>
      <w:pPr>
        <w:numPr>
          <w:numId w:val="17"/>
        </w:numPr>
        <w:spacing w:before="120" w:after="120" w:line="288" w:lineRule="auto"/>
        <w:ind w:left="453"/>
        <w:jc w:val="left"/>
      </w:pPr>
      <w:r>
        <w:rPr>
          <w:rFonts w:eastAsia="等线" w:ascii="Arial" w:cs="Arial" w:hAnsi="Arial"/>
          <w:b w:val="true"/>
          <w:sz w:val="22"/>
        </w:rPr>
        <w:t>定位</w:t>
      </w:r>
      <w:r>
        <w:rPr>
          <w:rFonts w:eastAsia="等线" w:ascii="Arial" w:cs="Arial" w:hAnsi="Arial"/>
          <w:sz w:val="22"/>
        </w:rPr>
        <w:t>：第6章（第三国法律与实践）。</w:t>
      </w:r>
    </w:p>
    <w:p>
      <w:pPr>
        <w:numPr>
          <w:numId w:val="18"/>
        </w:numPr>
        <w:spacing w:before="120" w:after="120" w:line="288" w:lineRule="auto"/>
        <w:ind w:left="453"/>
        <w:jc w:val="left"/>
      </w:pPr>
      <w:r>
        <w:rPr>
          <w:rFonts w:eastAsia="等线" w:ascii="Arial" w:cs="Arial" w:hAnsi="Arial"/>
          <w:b w:val="true"/>
          <w:sz w:val="22"/>
        </w:rPr>
        <w:t>审查结果</w:t>
      </w:r>
      <w:r>
        <w:rPr>
          <w:rFonts w:eastAsia="等线" w:ascii="Arial" w:cs="Arial" w:hAnsi="Arial"/>
          <w:sz w:val="22"/>
        </w:rPr>
        <w:t>：</w:t>
      </w:r>
      <w:r>
        <w:rPr>
          <w:rFonts w:eastAsia="等线" w:ascii="Arial" w:cs="Arial" w:hAnsi="Arial"/>
          <w:b w:val="true"/>
          <w:sz w:val="22"/>
        </w:rPr>
        <w:t>不完整/笼统</w:t>
      </w:r>
      <w:r>
        <w:rPr>
          <w:rFonts w:eastAsia="等线" w:ascii="Arial" w:cs="Arial" w:hAnsi="Arial"/>
          <w:sz w:val="22"/>
        </w:rPr>
        <w:t>。</w:t>
      </w:r>
    </w:p>
    <w:p>
      <w:pPr>
        <w:numPr>
          <w:numId w:val="19"/>
        </w:numPr>
        <w:spacing w:before="120" w:after="120" w:line="288" w:lineRule="auto"/>
        <w:ind w:left="453"/>
        <w:jc w:val="left"/>
      </w:pPr>
      <w:r>
        <w:rPr>
          <w:rFonts w:eastAsia="等线" w:ascii="Arial" w:cs="Arial" w:hAnsi="Arial"/>
          <w:b w:val="true"/>
          <w:sz w:val="22"/>
        </w:rPr>
        <w:t>问题描述</w:t>
      </w:r>
      <w:r>
        <w:rPr>
          <w:rFonts w:eastAsia="等线" w:ascii="Arial" w:cs="Arial" w:hAnsi="Arial"/>
          <w:sz w:val="22"/>
        </w:rPr>
        <w:t>：第6.1条仅泛泛要求评估，未提及必须遵循EDPB建议01/2020的“六步法”进行结构化评估，也未要求记录评估结果。第6.2条将通知义务弱化为“在法律允许的范围内”，不符合最佳实践。</w:t>
      </w:r>
    </w:p>
    <w:p>
      <w:pPr>
        <w:numPr>
          <w:numId w:val="20"/>
        </w:numPr>
        <w:spacing w:before="120" w:after="120" w:line="288" w:lineRule="auto"/>
        <w:ind w:left="453"/>
        <w:jc w:val="left"/>
      </w:pPr>
      <w:r>
        <w:rPr>
          <w:rFonts w:eastAsia="等线" w:ascii="Arial" w:cs="Arial" w:hAnsi="Arial"/>
          <w:b w:val="true"/>
          <w:sz w:val="22"/>
        </w:rPr>
        <w:t>改进建议</w:t>
      </w:r>
      <w:r>
        <w:rPr>
          <w:rFonts w:eastAsia="等线" w:ascii="Arial" w:cs="Arial" w:hAnsi="Arial"/>
          <w:sz w:val="22"/>
        </w:rPr>
        <w:t>：1) 在第6.1条中明确评估需基于EDPB建议01/2020，并规定评估需记录在案、定期更新（至少每年一次或在相关法律发生重大变化时）。2) 将第6.2条修改为：“数据输入方在收到任何具有法律约束力的政府数据披露请求时，应</w:t>
      </w:r>
      <w:r>
        <w:rPr>
          <w:rFonts w:eastAsia="等线" w:ascii="Arial" w:cs="Arial" w:hAnsi="Arial"/>
          <w:b w:val="true"/>
          <w:sz w:val="22"/>
        </w:rPr>
        <w:t>立即</w:t>
      </w:r>
      <w:r>
        <w:rPr>
          <w:rFonts w:eastAsia="等线" w:ascii="Arial" w:cs="Arial" w:hAnsi="Arial"/>
          <w:sz w:val="22"/>
        </w:rPr>
        <w:t>（或尽可能及时地）通知数据输出方，并提供请求的详细信息。数据输入方应审查该请求的合法性，并在必要时利用一切可用法律途径质疑该请求。”</w:t>
      </w:r>
    </w:p>
    <w:p>
      <w:pPr>
        <w:pStyle w:val="3"/>
        <w:spacing w:before="300" w:after="120" w:line="288" w:lineRule="auto"/>
        <w:ind w:left="0"/>
        <w:jc w:val="left"/>
        <w:outlineLvl w:val="2"/>
      </w:pPr>
      <w:bookmarkStart w:name="heading_1" w:id="1"/>
      <w:r>
        <w:rPr>
          <w:rFonts w:eastAsia="等线" w:ascii="Arial" w:cs="Arial" w:hAnsi="Arial"/>
          <w:b w:val="true"/>
          <w:sz w:val="30"/>
        </w:rPr>
        <w:t xml:space="preserve">测试案例二：存在高风险缺陷的BCR-C </w:t>
      </w:r>
      <w:bookmarkEnd w:id="1"/>
    </w:p>
    <w:p>
      <w:pPr>
        <w:spacing w:before="120" w:after="120" w:line="288" w:lineRule="auto"/>
        <w:ind w:left="0"/>
        <w:jc w:val="left"/>
      </w:pPr>
      <w:r>
        <w:rPr>
          <w:rFonts w:eastAsia="等线" w:ascii="Arial" w:cs="Arial" w:hAnsi="Arial"/>
          <w:b w:val="true"/>
          <w:sz w:val="22"/>
        </w:rPr>
        <w:t>场景</w:t>
      </w:r>
      <w:r>
        <w:rPr>
          <w:rFonts w:eastAsia="等线" w:ascii="Arial" w:cs="Arial" w:hAnsi="Arial"/>
          <w:sz w:val="22"/>
        </w:rPr>
        <w:t>：“健康数据联盟”（HealthData Alliance）是一个由多家欧洲医疗机构组成的联盟，其BCR-C草案旨在允许成员间共享匿名的医疗研究数据。文档由法务团队草拟，但遗漏了若干GDPR第47条和EDPB建议中的强制性要求。</w:t>
      </w:r>
    </w:p>
    <w:p>
      <w:pPr>
        <w:spacing w:before="120" w:after="120" w:line="288" w:lineRule="auto"/>
        <w:ind w:left="0"/>
        <w:jc w:val="left"/>
      </w:pPr>
      <w:r>
        <w:rPr>
          <w:rFonts w:eastAsia="等线" w:ascii="Arial" w:cs="Arial" w:hAnsi="Arial"/>
          <w:b w:val="true"/>
          <w:sz w:val="22"/>
        </w:rPr>
        <w:t>植入的风险点</w:t>
      </w:r>
      <w:r>
        <w:rPr>
          <w:rFonts w:eastAsia="等线" w:ascii="Arial" w:cs="Arial" w:hAnsi="Arial"/>
          <w:sz w:val="22"/>
        </w:rPr>
        <w:t>：</w:t>
      </w:r>
    </w:p>
    <w:p>
      <w:pPr>
        <w:numPr>
          <w:numId w:val="21"/>
        </w:numPr>
        <w:spacing w:before="120" w:after="120" w:line="288" w:lineRule="auto"/>
        <w:ind w:left="0"/>
        <w:jc w:val="left"/>
      </w:pPr>
      <w:r>
        <w:rPr>
          <w:rFonts w:eastAsia="等线" w:ascii="Arial" w:cs="Arial" w:hAnsi="Arial"/>
          <w:b w:val="true"/>
          <w:sz w:val="22"/>
        </w:rPr>
        <w:t>缺失第三方受益人权利条款</w:t>
      </w:r>
      <w:r>
        <w:rPr>
          <w:rFonts w:eastAsia="等线" w:ascii="Arial" w:cs="Arial" w:hAnsi="Arial"/>
          <w:sz w:val="22"/>
        </w:rPr>
        <w:t>：全文未提及数据主体可作为第三方受益人强制执行BCR条款。这是GDPR第47(1)(b)条和EDPB建议表格1.3.1项的强制性要求。</w:t>
      </w:r>
    </w:p>
    <w:p>
      <w:pPr>
        <w:numPr>
          <w:numId w:val="22"/>
        </w:numPr>
        <w:spacing w:before="120" w:after="120" w:line="288" w:lineRule="auto"/>
        <w:ind w:left="0"/>
        <w:jc w:val="left"/>
      </w:pPr>
      <w:r>
        <w:rPr>
          <w:rFonts w:eastAsia="等线" w:ascii="Arial" w:cs="Arial" w:hAnsi="Arial"/>
          <w:b w:val="true"/>
          <w:sz w:val="22"/>
        </w:rPr>
        <w:t>未明确指定欧盟责任主体</w:t>
      </w:r>
      <w:r>
        <w:rPr>
          <w:rFonts w:eastAsia="等线" w:ascii="Arial" w:cs="Arial" w:hAnsi="Arial"/>
          <w:sz w:val="22"/>
        </w:rPr>
        <w:t>：文档多次提到“联盟理事会”将协调事宜，但未明确声明一个位于欧盟的实体将为非欧盟成员的违规行为向数据主体承担</w:t>
      </w:r>
      <w:r>
        <w:rPr>
          <w:rFonts w:eastAsia="等线" w:ascii="Arial" w:cs="Arial" w:hAnsi="Arial"/>
          <w:b w:val="true"/>
          <w:sz w:val="22"/>
        </w:rPr>
        <w:t>连带赔偿责任</w:t>
      </w:r>
      <w:r>
        <w:rPr>
          <w:rFonts w:eastAsia="等线" w:ascii="Arial" w:cs="Arial" w:hAnsi="Arial"/>
          <w:sz w:val="22"/>
        </w:rPr>
        <w:t>。这是GDPR第47(2)(f)条的核心要求。</w:t>
      </w:r>
    </w:p>
    <w:p>
      <w:pPr>
        <w:numPr>
          <w:numId w:val="23"/>
        </w:numPr>
        <w:spacing w:before="120" w:after="120" w:line="288" w:lineRule="auto"/>
        <w:ind w:left="0"/>
        <w:jc w:val="left"/>
      </w:pPr>
      <w:r>
        <w:rPr>
          <w:rFonts w:eastAsia="等线" w:ascii="Arial" w:cs="Arial" w:hAnsi="Arial"/>
          <w:b w:val="true"/>
          <w:sz w:val="22"/>
        </w:rPr>
        <w:t>法律约束力机制不清晰</w:t>
      </w:r>
      <w:r>
        <w:rPr>
          <w:rFonts w:eastAsia="等线" w:ascii="Arial" w:cs="Arial" w:hAnsi="Arial"/>
          <w:sz w:val="22"/>
        </w:rPr>
        <w:t>：文档称BCR通过“联盟章程”对成员有约束力，但未提供该章程作为附件，也未解释其如何对成员产生法律约束力（如是否由董事会签署）。</w:t>
      </w:r>
    </w:p>
    <w:p>
      <w:pPr>
        <w:spacing w:before="120" w:after="120" w:line="288" w:lineRule="auto"/>
        <w:ind w:left="0"/>
        <w:jc w:val="left"/>
      </w:pPr>
      <w:r>
        <w:rPr>
          <w:rFonts w:eastAsia="等线" w:ascii="Arial" w:cs="Arial" w:hAnsi="Arial"/>
          <w:b w:val="true"/>
          <w:sz w:val="22"/>
        </w:rPr>
        <w:t>提交审查的BCR-C文档全文（关键缺失部分节选）</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**HEALTHDATA ALLIANCE 有约束力的公司规则（控制者）**</w:t>
              <w:br/>
              <w:t>**HealthData Alliance Binding Corporate Rules (Controllers)**</w:t>
              <w:br/>
              <w:t>**草案版本：1.0**</w:t>
              <w:br/>
              <w:br/>
              <w:t>**第1章：目标与原则 (Chapter 1: Objectives and Principles)**</w:t>
              <w:br/>
              <w:t>本BCR旨在确保HealthData Alliance所有成员在处理和传输个人健康数据时，遵守欧盟《通用数据保护条例》（GDPR）的核心原则。</w:t>
              <w:br/>
              <w:t>*These BCRs aim to ensure that all members of the HealthData Alliance adhere to the core principles of the EU General Data Protection Regulation (GDPR) when processing and transferring personal health data.*</w:t>
              <w:br/>
              <w:br/>
              <w:t>**第2章：适用范围与成员 (Chapter 2: Scope and Membership)**</w:t>
              <w:br/>
              <w:t>...</w:t>
              <w:br/>
              <w:t>**第3章：数据保护承诺 (Chapter 3: Data Protection Commitments)**</w:t>
              <w:br/>
              <w:t>所有成员承诺遵守目的限制、数据最小化、准确性、存储限制、完整性与保密性以及问责制原则。</w:t>
              <w:br/>
              <w:t>*All members commit to complying with the principles of purpose limitation, data minimisation, accuracy, storage limitation, integrity and confidentiality, and accountability.*</w:t>
              <w:br/>
              <w:br/>
              <w:t>**第4章：数据主体权利 (Chapter 4: Data Subject Rights)**</w:t>
              <w:br/>
              <w:t>成员应尊重数据主体的访问权、更正权、删除权（被遗忘权）、限制处理权、数据可携权以及反对权。</w:t>
              <w:br/>
              <w:t>*Members shall respect data subjects' rights of access, rectification, erasure (right to be forgotten), restriction of processing, data portability, and objection.*</w:t>
              <w:br/>
              <w:br/>
              <w:t>**第5章：安全措施 (Chapter 5: Security Measures)**</w:t>
              <w:br/>
              <w:t>...</w:t>
              <w:br/>
              <w:t>**第6章：跨境数据传输 (Chapter 6: Cross-Border Data Transfers)**</w:t>
              <w:br/>
              <w:t>成员在向位于非充分性认定国家的其他成员传输数据前，应进行风险评估。</w:t>
              <w:br/>
              <w:t>*Members shall conduct a risk assessment prior to transferring data to other members located in third countries not recognized as providing an adequate level of protection.*</w:t>
              <w:br/>
              <w:br/>
              <w:t>**第7章：治理与监督 (Chapter 7: Governance and Supervision)**</w:t>
              <w:br/>
              <w:t>联盟理事会负责监督BCR的遵守情况，并处理内部投诉。</w:t>
              <w:br/>
              <w:t>*The Alliance Council is responsible for overseeing compliance with these BCRs and handling internal complaints.*</w:t>
              <w:br/>
              <w:t>(问题：未提及数据主体可向谁、通过何种途径行使第三方受益人权利。也未指定对数据主体承担赔偿责任的欧盟实体。)</w:t>
              <w:br/>
              <w:br/>
              <w:t>**第8章：责任 (Chapter 8: Liability)**</w:t>
              <w:br/>
              <w:t>违反本BCR的成员应根据适用法律承担相应责任。</w:t>
              <w:br/>
              <w:t>*Members who breach these BCRs shall be liable in accordance with applicable law.*</w:t>
              <w:br/>
              <w:t>(问题：**高风险缺失**。未按GDPR第47(2)(f)条要求，指定一个位于欧盟的实体为非欧盟成员的违规行为向数据主体承担赔偿责任。此条款完全未满足要求。)</w:t>
              <w:br/>
              <w:br/>
              <w:t>**第9章：修改与生效 (Chapter 9: Amendments and Entry into Force)**</w:t>
              <w:br/>
              <w:t>本BCR经联盟理事会批准后生效，并对所有成员具有约束力。</w:t>
              <w:br/>
              <w:t>*These BCRs shall enter into force upon approval by the Alliance Council and are binding on all members.*</w:t>
              <w:br/>
              <w:t>(问题：未说明通过何种法律文书（如集团内协议）使其具有内部法律约束力，也未提供该文书。)</w:t>
              <w:br/>
              <w:br/>
            </w:r>
            <w:r>
              <w:rPr>
                <w:rFonts w:eastAsia="Consolas" w:ascii="Consolas" w:cs="Consolas" w:hAnsi="Consolas"/>
                <w:sz w:val="22"/>
              </w:rPr>
              <w:t>**（全文结束，无“第三方受益人权利”章节，也无相关条款）**</w:t>
            </w:r>
          </w:p>
        </w:tc>
      </w:tr>
    </w:tbl>
    <w:p>
      <w:pPr>
        <w:spacing w:before="120" w:after="120" w:line="288" w:lineRule="auto"/>
        <w:ind w:left="0"/>
        <w:jc w:val="left"/>
      </w:pPr>
      <w:r>
        <w:rPr>
          <w:rFonts w:eastAsia="等线" w:ascii="Arial" w:cs="Arial" w:hAnsi="Arial"/>
          <w:b w:val="true"/>
          <w:sz w:val="22"/>
        </w:rPr>
        <w:t>预期输出（《BCR-C合规审查报告》核心发现）</w:t>
      </w:r>
      <w:r>
        <w:rPr>
          <w:rFonts w:eastAsia="等线" w:ascii="Arial" w:cs="Arial" w:hAnsi="Arial"/>
          <w:sz w:val="22"/>
        </w:rPr>
        <w:t>：</w:t>
      </w:r>
    </w:p>
    <w:p>
      <w:pPr>
        <w:numPr>
          <w:numId w:val="24"/>
        </w:numPr>
        <w:spacing w:before="120" w:after="120" w:line="288" w:lineRule="auto"/>
        <w:ind w:left="0"/>
        <w:jc w:val="left"/>
      </w:pPr>
      <w:r>
        <w:rPr>
          <w:rFonts w:eastAsia="等线" w:ascii="Arial" w:cs="Arial" w:hAnsi="Arial"/>
          <w:b w:val="true"/>
          <w:sz w:val="22"/>
        </w:rPr>
        <w:t>总体合规评级</w:t>
      </w:r>
      <w:r>
        <w:rPr>
          <w:rFonts w:eastAsia="等线" w:ascii="Arial" w:cs="Arial" w:hAnsi="Arial"/>
          <w:sz w:val="22"/>
        </w:rPr>
        <w:t>：</w:t>
      </w:r>
      <w:r>
        <w:rPr>
          <w:rFonts w:eastAsia="等线" w:ascii="Arial" w:cs="Arial" w:hAnsi="Arial"/>
          <w:b w:val="true"/>
          <w:sz w:val="22"/>
        </w:rPr>
        <w:t>高风险</w:t>
      </w:r>
      <w:r>
        <w:rPr>
          <w:rFonts w:eastAsia="等线" w:ascii="Arial" w:cs="Arial" w:hAnsi="Arial"/>
          <w:sz w:val="22"/>
        </w:rPr>
        <w:t>。本BCR-C草案</w:t>
      </w:r>
      <w:r>
        <w:rPr>
          <w:rFonts w:eastAsia="等线" w:ascii="Arial" w:cs="Arial" w:hAnsi="Arial"/>
          <w:b w:val="true"/>
          <w:sz w:val="22"/>
        </w:rPr>
        <w:t>缺失了多项GDPR第47条和EDPB建议中规定的强制性核心要素</w:t>
      </w:r>
      <w:r>
        <w:rPr>
          <w:rFonts w:eastAsia="等线" w:ascii="Arial" w:cs="Arial" w:hAnsi="Arial"/>
          <w:sz w:val="22"/>
        </w:rPr>
        <w:t>，特别是</w:t>
      </w:r>
      <w:r>
        <w:rPr>
          <w:rFonts w:eastAsia="等线" w:ascii="Arial" w:cs="Arial" w:hAnsi="Arial"/>
          <w:b w:val="true"/>
          <w:sz w:val="22"/>
        </w:rPr>
        <w:t>未创建第三方受益人权利</w:t>
      </w:r>
      <w:r>
        <w:rPr>
          <w:rFonts w:eastAsia="等线" w:ascii="Arial" w:cs="Arial" w:hAnsi="Arial"/>
          <w:sz w:val="22"/>
        </w:rPr>
        <w:t>和</w:t>
      </w:r>
      <w:r>
        <w:rPr>
          <w:rFonts w:eastAsia="等线" w:ascii="Arial" w:cs="Arial" w:hAnsi="Arial"/>
          <w:b w:val="true"/>
          <w:sz w:val="22"/>
        </w:rPr>
        <w:t>未明确指定欧盟责任主体</w:t>
      </w:r>
      <w:r>
        <w:rPr>
          <w:rFonts w:eastAsia="等线" w:ascii="Arial" w:cs="Arial" w:hAnsi="Arial"/>
          <w:sz w:val="22"/>
        </w:rPr>
        <w:t>。这些缺陷将导致BCR无法获得监管机构批准。</w:t>
      </w:r>
    </w:p>
    <w:p>
      <w:pPr>
        <w:numPr>
          <w:numId w:val="25"/>
        </w:numPr>
        <w:spacing w:before="120" w:after="120" w:line="288" w:lineRule="auto"/>
        <w:ind w:left="0"/>
        <w:jc w:val="left"/>
      </w:pPr>
      <w:r>
        <w:rPr>
          <w:rFonts w:eastAsia="等线" w:ascii="Arial" w:cs="Arial" w:hAnsi="Arial"/>
          <w:b w:val="true"/>
          <w:sz w:val="22"/>
        </w:rPr>
        <w:t>主要发现摘要</w:t>
      </w:r>
      <w:r>
        <w:rPr>
          <w:rFonts w:eastAsia="等线" w:ascii="Arial" w:cs="Arial" w:hAnsi="Arial"/>
          <w:sz w:val="22"/>
        </w:rPr>
        <w:t>：</w:t>
      </w:r>
    </w:p>
    <w:p>
      <w:pPr>
        <w:numPr>
          <w:numId w:val="26"/>
        </w:numPr>
        <w:spacing w:before="120" w:after="120" w:line="288" w:lineRule="auto"/>
        <w:ind w:left="453"/>
        <w:jc w:val="left"/>
      </w:pPr>
      <w:r>
        <w:rPr>
          <w:rFonts w:eastAsia="等线" w:ascii="Arial" w:cs="Arial" w:hAnsi="Arial"/>
          <w:sz w:val="22"/>
        </w:rPr>
        <w:t>发现的问题总数：</w:t>
      </w:r>
      <w:r>
        <w:rPr>
          <w:rFonts w:eastAsia="等线" w:ascii="Arial" w:cs="Arial" w:hAnsi="Arial"/>
          <w:b w:val="true"/>
          <w:sz w:val="22"/>
        </w:rPr>
        <w:t>3个高风险问题，2个中风险问题</w:t>
      </w:r>
      <w:r>
        <w:rPr>
          <w:rFonts w:eastAsia="等线" w:ascii="Arial" w:cs="Arial" w:hAnsi="Arial"/>
          <w:sz w:val="22"/>
        </w:rPr>
        <w:t>。</w:t>
      </w:r>
    </w:p>
    <w:p>
      <w:pPr>
        <w:numPr>
          <w:numId w:val="27"/>
        </w:numPr>
        <w:spacing w:before="120" w:after="120" w:line="288" w:lineRule="auto"/>
        <w:ind w:left="453"/>
        <w:jc w:val="left"/>
      </w:pPr>
      <w:r>
        <w:rPr>
          <w:rFonts w:eastAsia="等线" w:ascii="Arial" w:cs="Arial" w:hAnsi="Arial"/>
          <w:sz w:val="22"/>
        </w:rPr>
        <w:t>高风险问题简述：1) 缺失第三方受益人权利条款；2) 未指定欧盟责任主体并承诺其承担赔偿责任；3) 法律约束力机制不明确。</w:t>
      </w:r>
    </w:p>
    <w:p>
      <w:pPr>
        <w:numPr>
          <w:numId w:val="28"/>
        </w:numPr>
        <w:spacing w:before="120" w:after="120" w:line="288" w:lineRule="auto"/>
        <w:ind w:left="0"/>
        <w:jc w:val="left"/>
      </w:pPr>
      <w:r>
        <w:rPr>
          <w:rFonts w:eastAsia="等线" w:ascii="Arial" w:cs="Arial" w:hAnsi="Arial"/>
          <w:b w:val="true"/>
          <w:sz w:val="22"/>
        </w:rPr>
        <w:t>条款级审查发现（示例）</w:t>
      </w:r>
      <w:r>
        <w:rPr>
          <w:rFonts w:eastAsia="等线" w:ascii="Arial" w:cs="Arial" w:hAnsi="Arial"/>
          <w:sz w:val="22"/>
        </w:rPr>
        <w:t>：</w:t>
      </w:r>
    </w:p>
    <w:p>
      <w:pPr>
        <w:numPr>
          <w:numId w:val="29"/>
        </w:numPr>
        <w:spacing w:before="120" w:after="120" w:line="288" w:lineRule="auto"/>
        <w:ind w:left="453"/>
        <w:jc w:val="left"/>
      </w:pPr>
      <w:r>
        <w:rPr>
          <w:rFonts w:eastAsia="等线" w:ascii="Arial" w:cs="Arial" w:hAnsi="Arial"/>
          <w:b w:val="true"/>
          <w:sz w:val="22"/>
        </w:rPr>
        <w:t>定位</w:t>
      </w:r>
      <w:r>
        <w:rPr>
          <w:rFonts w:eastAsia="等线" w:ascii="Arial" w:cs="Arial" w:hAnsi="Arial"/>
          <w:sz w:val="22"/>
        </w:rPr>
        <w:t>：全文。</w:t>
      </w:r>
    </w:p>
    <w:p>
      <w:pPr>
        <w:numPr>
          <w:numId w:val="30"/>
        </w:numPr>
        <w:spacing w:before="120" w:after="120" w:line="288" w:lineRule="auto"/>
        <w:ind w:left="453"/>
        <w:jc w:val="left"/>
      </w:pPr>
      <w:r>
        <w:rPr>
          <w:rFonts w:eastAsia="等线" w:ascii="Arial" w:cs="Arial" w:hAnsi="Arial"/>
          <w:b w:val="true"/>
          <w:sz w:val="22"/>
        </w:rPr>
        <w:t>审查要点</w:t>
      </w:r>
      <w:r>
        <w:rPr>
          <w:rFonts w:eastAsia="等线" w:ascii="Arial" w:cs="Arial" w:hAnsi="Arial"/>
          <w:sz w:val="22"/>
        </w:rPr>
        <w:t>：是否创建了可被数据主体强制执行的第三方受益人权利？</w:t>
      </w:r>
    </w:p>
    <w:p>
      <w:pPr>
        <w:numPr>
          <w:numId w:val="31"/>
        </w:numPr>
        <w:spacing w:before="120" w:after="120" w:line="288" w:lineRule="auto"/>
        <w:ind w:left="453"/>
        <w:jc w:val="left"/>
      </w:pPr>
      <w:r>
        <w:rPr>
          <w:rFonts w:eastAsia="等线" w:ascii="Arial" w:cs="Arial" w:hAnsi="Arial"/>
          <w:b w:val="true"/>
          <w:sz w:val="22"/>
        </w:rPr>
        <w:t>审查结果</w:t>
      </w:r>
      <w:r>
        <w:rPr>
          <w:rFonts w:eastAsia="等线" w:ascii="Arial" w:cs="Arial" w:hAnsi="Arial"/>
          <w:sz w:val="22"/>
        </w:rPr>
        <w:t>：</w:t>
      </w:r>
      <w:r>
        <w:rPr>
          <w:rFonts w:eastAsia="等线" w:ascii="Arial" w:cs="Arial" w:hAnsi="Arial"/>
          <w:b w:val="true"/>
          <w:sz w:val="22"/>
        </w:rPr>
        <w:t>否（缺失）</w:t>
      </w:r>
      <w:r>
        <w:rPr>
          <w:rFonts w:eastAsia="等线" w:ascii="Arial" w:cs="Arial" w:hAnsi="Arial"/>
          <w:sz w:val="22"/>
        </w:rPr>
        <w:t>。</w:t>
      </w:r>
    </w:p>
    <w:p>
      <w:pPr>
        <w:numPr>
          <w:numId w:val="32"/>
        </w:numPr>
        <w:spacing w:before="120" w:after="120" w:line="288" w:lineRule="auto"/>
        <w:ind w:left="453"/>
        <w:jc w:val="left"/>
      </w:pPr>
      <w:r>
        <w:rPr>
          <w:rFonts w:eastAsia="等线" w:ascii="Arial" w:cs="Arial" w:hAnsi="Arial"/>
          <w:b w:val="true"/>
          <w:sz w:val="22"/>
        </w:rPr>
        <w:t>问题描述</w:t>
      </w:r>
      <w:r>
        <w:rPr>
          <w:rFonts w:eastAsia="等线" w:ascii="Arial" w:cs="Arial" w:hAnsi="Arial"/>
          <w:sz w:val="22"/>
        </w:rPr>
        <w:t>：全文未包含任何条款赋予数据主体作为第三方受益人强制执行BCR的权利。这直接违反了GDPR第47(1)(b)条和EDPB建议表格1.3.1项。</w:t>
      </w:r>
    </w:p>
    <w:p>
      <w:pPr>
        <w:numPr>
          <w:numId w:val="33"/>
        </w:numPr>
        <w:spacing w:before="120" w:after="120" w:line="288" w:lineRule="auto"/>
        <w:ind w:left="453"/>
        <w:jc w:val="left"/>
      </w:pPr>
      <w:r>
        <w:rPr>
          <w:rFonts w:eastAsia="等线" w:ascii="Arial" w:cs="Arial" w:hAnsi="Arial"/>
          <w:b w:val="true"/>
          <w:sz w:val="22"/>
        </w:rPr>
        <w:t>改进建议</w:t>
      </w:r>
      <w:r>
        <w:rPr>
          <w:rFonts w:eastAsia="等线" w:ascii="Arial" w:cs="Arial" w:hAnsi="Arial"/>
          <w:sz w:val="22"/>
        </w:rPr>
        <w:t>：</w:t>
      </w:r>
      <w:r>
        <w:rPr>
          <w:rFonts w:eastAsia="等线" w:ascii="Arial" w:cs="Arial" w:hAnsi="Arial"/>
          <w:b w:val="true"/>
          <w:sz w:val="22"/>
        </w:rPr>
        <w:t>必须增加独立章节</w:t>
      </w:r>
      <w:r>
        <w:rPr>
          <w:rFonts w:eastAsia="等线" w:ascii="Arial" w:cs="Arial" w:hAnsi="Arial"/>
          <w:sz w:val="22"/>
        </w:rPr>
        <w:t>，例如“第X章：第三方受益人权利”。明确声明：“数据主体享有本BCR第3章（数据保护原则）、第4章（数据主体权利）及第8章（责任）所载权利的第三方受益人权利，并可直接向第8.2条指定的欧盟责任主体主张这些权利。”</w:t>
      </w:r>
    </w:p>
    <w:p>
      <w:pPr>
        <w:numPr>
          <w:numId w:val="34"/>
        </w:numPr>
        <w:spacing w:before="120" w:after="120" w:line="288" w:lineRule="auto"/>
        <w:ind w:left="453"/>
        <w:jc w:val="left"/>
      </w:pPr>
      <w:r>
        <w:rPr>
          <w:rFonts w:eastAsia="等线" w:ascii="Arial" w:cs="Arial" w:hAnsi="Arial"/>
          <w:b w:val="true"/>
          <w:sz w:val="22"/>
        </w:rPr>
        <w:t>定位</w:t>
      </w:r>
      <w:r>
        <w:rPr>
          <w:rFonts w:eastAsia="等线" w:ascii="Arial" w:cs="Arial" w:hAnsi="Arial"/>
          <w:sz w:val="22"/>
        </w:rPr>
        <w:t>：第8章（责任）。</w:t>
      </w:r>
    </w:p>
    <w:p>
      <w:pPr>
        <w:numPr>
          <w:numId w:val="35"/>
        </w:numPr>
        <w:spacing w:before="120" w:after="120" w:line="288" w:lineRule="auto"/>
        <w:ind w:left="453"/>
        <w:jc w:val="left"/>
      </w:pPr>
      <w:r>
        <w:rPr>
          <w:rFonts w:eastAsia="等线" w:ascii="Arial" w:cs="Arial" w:hAnsi="Arial"/>
          <w:b w:val="true"/>
          <w:sz w:val="22"/>
        </w:rPr>
        <w:t>审查要点</w:t>
      </w:r>
      <w:r>
        <w:rPr>
          <w:rFonts w:eastAsia="等线" w:ascii="Arial" w:cs="Arial" w:hAnsi="Arial"/>
          <w:sz w:val="22"/>
        </w:rPr>
        <w:t>：是否明确指定了位于欧盟的责任主体，并承诺其为非欧盟成员的违规承担连带赔偿责任？</w:t>
      </w:r>
    </w:p>
    <w:p>
      <w:pPr>
        <w:numPr>
          <w:numId w:val="36"/>
        </w:numPr>
        <w:spacing w:before="120" w:after="120" w:line="288" w:lineRule="auto"/>
        <w:ind w:left="453"/>
        <w:jc w:val="left"/>
      </w:pPr>
      <w:r>
        <w:rPr>
          <w:rFonts w:eastAsia="等线" w:ascii="Arial" w:cs="Arial" w:hAnsi="Arial"/>
          <w:b w:val="true"/>
          <w:sz w:val="22"/>
        </w:rPr>
        <w:t>审查结果</w:t>
      </w:r>
      <w:r>
        <w:rPr>
          <w:rFonts w:eastAsia="等线" w:ascii="Arial" w:cs="Arial" w:hAnsi="Arial"/>
          <w:sz w:val="22"/>
        </w:rPr>
        <w:t>：</w:t>
      </w:r>
      <w:r>
        <w:rPr>
          <w:rFonts w:eastAsia="等线" w:ascii="Arial" w:cs="Arial" w:hAnsi="Arial"/>
          <w:b w:val="true"/>
          <w:sz w:val="22"/>
        </w:rPr>
        <w:t>否（缺失）</w:t>
      </w:r>
      <w:r>
        <w:rPr>
          <w:rFonts w:eastAsia="等线" w:ascii="Arial" w:cs="Arial" w:hAnsi="Arial"/>
          <w:sz w:val="22"/>
        </w:rPr>
        <w:t>。</w:t>
      </w:r>
    </w:p>
    <w:p>
      <w:pPr>
        <w:numPr>
          <w:numId w:val="37"/>
        </w:numPr>
        <w:spacing w:before="120" w:after="120" w:line="288" w:lineRule="auto"/>
        <w:ind w:left="453"/>
        <w:jc w:val="left"/>
      </w:pPr>
      <w:r>
        <w:rPr>
          <w:rFonts w:eastAsia="等线" w:ascii="Arial" w:cs="Arial" w:hAnsi="Arial"/>
          <w:b w:val="true"/>
          <w:sz w:val="22"/>
        </w:rPr>
        <w:t>问题描述</w:t>
      </w:r>
      <w:r>
        <w:rPr>
          <w:rFonts w:eastAsia="等线" w:ascii="Arial" w:cs="Arial" w:hAnsi="Arial"/>
          <w:sz w:val="22"/>
        </w:rPr>
        <w:t>：第8章仅泛泛提及成员根据适用法律承担责任，</w:t>
      </w:r>
      <w:r>
        <w:rPr>
          <w:rFonts w:eastAsia="等线" w:ascii="Arial" w:cs="Arial" w:hAnsi="Arial"/>
          <w:b w:val="true"/>
          <w:sz w:val="22"/>
        </w:rPr>
        <w:t>完全没有指定一个位于欧盟的实体作为责任主体</w:t>
      </w:r>
      <w:r>
        <w:rPr>
          <w:rFonts w:eastAsia="等线" w:ascii="Arial" w:cs="Arial" w:hAnsi="Arial"/>
          <w:sz w:val="22"/>
        </w:rPr>
        <w:t>，也未承诺该实体将为非欧盟成员的违规行为向数据主体承担赔偿责任。这是GDPR第47(2)(f)条的强制性要求。</w:t>
      </w:r>
    </w:p>
    <w:p>
      <w:pPr>
        <w:numPr>
          <w:numId w:val="38"/>
        </w:numPr>
        <w:spacing w:before="120" w:after="120" w:line="288" w:lineRule="auto"/>
        <w:ind w:left="453"/>
        <w:jc w:val="left"/>
      </w:pPr>
      <w:r>
        <w:rPr>
          <w:rFonts w:eastAsia="等线" w:ascii="Arial" w:cs="Arial" w:hAnsi="Arial"/>
          <w:b w:val="true"/>
          <w:sz w:val="22"/>
        </w:rPr>
        <w:t>改进建议</w:t>
      </w:r>
      <w:r>
        <w:rPr>
          <w:rFonts w:eastAsia="等线" w:ascii="Arial" w:cs="Arial" w:hAnsi="Arial"/>
          <w:sz w:val="22"/>
        </w:rPr>
        <w:t>：</w:t>
      </w:r>
      <w:r>
        <w:rPr>
          <w:rFonts w:eastAsia="等线" w:ascii="Arial" w:cs="Arial" w:hAnsi="Arial"/>
          <w:b w:val="true"/>
          <w:sz w:val="22"/>
        </w:rPr>
        <w:t>必须增加条款</w:t>
      </w:r>
      <w:r>
        <w:rPr>
          <w:rFonts w:eastAsia="等线" w:ascii="Arial" w:cs="Arial" w:hAnsi="Arial"/>
          <w:sz w:val="22"/>
        </w:rPr>
        <w:t>，例如：“8.2 欧盟责任主体与赔偿 [欧盟实体名称，例如：HealthData Alliance EU Coordination Office GmbH，注册于德国柏林] 作为本BCR的责任主体，同意为任何受本BCR约束的非欧盟成员违反本BCR的行为，向数据主体承担赔偿责任。数据主体有权直接向该责任主体主张本BCR下的权利并寻求赔偿。”</w:t>
      </w:r>
    </w:p>
    <w:p>
      <w:pPr>
        <w:pStyle w:val="3"/>
        <w:spacing w:before="300" w:after="120" w:line="288" w:lineRule="auto"/>
        <w:ind w:left="0"/>
        <w:jc w:val="left"/>
        <w:outlineLvl w:val="2"/>
      </w:pPr>
      <w:bookmarkStart w:name="heading_2" w:id="2"/>
      <w:r>
        <w:rPr>
          <w:rFonts w:eastAsia="等线" w:ascii="Arial" w:cs="Arial" w:hAnsi="Arial"/>
          <w:b w:val="true"/>
          <w:sz w:val="30"/>
        </w:rPr>
        <w:t xml:space="preserve">测试案例三：结构严重缺失与模块概念混淆的BCR </w:t>
      </w:r>
      <w:bookmarkEnd w:id="2"/>
    </w:p>
    <w:p>
      <w:pPr>
        <w:spacing w:before="120" w:after="120" w:line="288" w:lineRule="auto"/>
        <w:ind w:left="0"/>
        <w:jc w:val="left"/>
      </w:pPr>
      <w:r>
        <w:rPr>
          <w:rFonts w:eastAsia="等线" w:ascii="Arial" w:cs="Arial" w:hAnsi="Arial"/>
          <w:b w:val="true"/>
          <w:sz w:val="22"/>
        </w:rPr>
        <w:t>场景</w:t>
      </w:r>
      <w:r>
        <w:rPr>
          <w:rFonts w:eastAsia="等线" w:ascii="Arial" w:cs="Arial" w:hAnsi="Arial"/>
          <w:sz w:val="22"/>
        </w:rPr>
        <w:t>：“云处理联盟”（CloudProcessors Consortium）提交了一份名为“BCR-C”的文档。然而，该文档内容极度简略，更像是一份政策声明，且其描述的数据处理关系实质上是处理者（Processor）之间的关系，却错误地声称适用于控制者（Controller）。</w:t>
      </w:r>
    </w:p>
    <w:p>
      <w:pPr>
        <w:spacing w:before="120" w:after="120" w:line="288" w:lineRule="auto"/>
        <w:ind w:left="0"/>
        <w:jc w:val="left"/>
      </w:pPr>
      <w:r>
        <w:rPr>
          <w:rFonts w:eastAsia="等线" w:ascii="Arial" w:cs="Arial" w:hAnsi="Arial"/>
          <w:b w:val="true"/>
          <w:sz w:val="22"/>
        </w:rPr>
        <w:t>植入的风险点</w:t>
      </w:r>
      <w:r>
        <w:rPr>
          <w:rFonts w:eastAsia="等线" w:ascii="Arial" w:cs="Arial" w:hAnsi="Arial"/>
          <w:sz w:val="22"/>
        </w:rPr>
        <w:t>：</w:t>
      </w:r>
    </w:p>
    <w:p>
      <w:pPr>
        <w:numPr>
          <w:numId w:val="39"/>
        </w:numPr>
        <w:spacing w:before="120" w:after="120" w:line="288" w:lineRule="auto"/>
        <w:ind w:left="0"/>
        <w:jc w:val="left"/>
      </w:pPr>
      <w:r>
        <w:rPr>
          <w:rFonts w:eastAsia="等线" w:ascii="Arial" w:cs="Arial" w:hAnsi="Arial"/>
          <w:b w:val="true"/>
          <w:sz w:val="22"/>
        </w:rPr>
        <w:t>结构严重缺失</w:t>
      </w:r>
      <w:r>
        <w:rPr>
          <w:rFonts w:eastAsia="等线" w:ascii="Arial" w:cs="Arial" w:hAnsi="Arial"/>
          <w:sz w:val="22"/>
        </w:rPr>
        <w:t>：文档仅3页，缺少EDPB建议表格中要求的大部分核心章节，如：数据保护原则的具体阐述、数据主体权利的具体内容、第三国法律评估（TIA）、投诉处理机制、更新程序等。</w:t>
      </w:r>
    </w:p>
    <w:p>
      <w:pPr>
        <w:numPr>
          <w:numId w:val="40"/>
        </w:numPr>
        <w:spacing w:before="120" w:after="120" w:line="288" w:lineRule="auto"/>
        <w:ind w:left="0"/>
        <w:jc w:val="left"/>
      </w:pPr>
      <w:r>
        <w:rPr>
          <w:rFonts w:eastAsia="等线" w:ascii="Arial" w:cs="Arial" w:hAnsi="Arial"/>
          <w:b w:val="true"/>
          <w:sz w:val="22"/>
        </w:rPr>
        <w:t>模块概念混淆/错误</w:t>
      </w:r>
      <w:r>
        <w:rPr>
          <w:rFonts w:eastAsia="等线" w:ascii="Arial" w:cs="Arial" w:hAnsi="Arial"/>
          <w:sz w:val="22"/>
        </w:rPr>
        <w:t>：文档标题为“BCR for Controllers”，但内容反复描述“代表客户”、“根据客户指示”处理数据，这明显是</w:t>
      </w:r>
      <w:r>
        <w:rPr>
          <w:rFonts w:eastAsia="等线" w:ascii="Arial" w:cs="Arial" w:hAnsi="Arial"/>
          <w:b w:val="true"/>
          <w:sz w:val="22"/>
        </w:rPr>
        <w:t>处理者（Processor）</w:t>
      </w:r>
      <w:r>
        <w:rPr>
          <w:rFonts w:eastAsia="等线" w:ascii="Arial" w:cs="Arial" w:hAnsi="Arial"/>
          <w:sz w:val="22"/>
        </w:rPr>
        <w:t xml:space="preserve"> 的角色和场景。该集团应申请的是</w:t>
      </w:r>
      <w:r>
        <w:rPr>
          <w:rFonts w:eastAsia="等线" w:ascii="Arial" w:cs="Arial" w:hAnsi="Arial"/>
          <w:b w:val="true"/>
          <w:sz w:val="22"/>
        </w:rPr>
        <w:t>BCR-P（处理者BCR）</w:t>
      </w:r>
      <w:r>
        <w:rPr>
          <w:rFonts w:eastAsia="等线" w:ascii="Arial" w:cs="Arial" w:hAnsi="Arial"/>
          <w:sz w:val="22"/>
        </w:rPr>
        <w:t>，而非BCR-C。</w:t>
      </w:r>
    </w:p>
    <w:p>
      <w:pPr>
        <w:numPr>
          <w:numId w:val="41"/>
        </w:numPr>
        <w:spacing w:before="120" w:after="120" w:line="288" w:lineRule="auto"/>
        <w:ind w:left="0"/>
        <w:jc w:val="left"/>
      </w:pPr>
      <w:r>
        <w:rPr>
          <w:rFonts w:eastAsia="等线" w:ascii="Arial" w:cs="Arial" w:hAnsi="Arial"/>
          <w:b w:val="true"/>
          <w:sz w:val="22"/>
        </w:rPr>
        <w:t>内容空洞，缺乏可执行性</w:t>
      </w:r>
      <w:r>
        <w:rPr>
          <w:rFonts w:eastAsia="等线" w:ascii="Arial" w:cs="Arial" w:hAnsi="Arial"/>
          <w:sz w:val="22"/>
        </w:rPr>
        <w:t>：条款多为原则性声明，如“我们将保护数据”，但没有具体的实施措施、责任分配或执行机制。</w:t>
      </w:r>
    </w:p>
    <w:p>
      <w:pPr>
        <w:spacing w:before="120" w:after="120" w:line="288" w:lineRule="auto"/>
        <w:ind w:left="0"/>
        <w:jc w:val="left"/>
      </w:pPr>
      <w:r>
        <w:rPr>
          <w:rFonts w:eastAsia="等线" w:ascii="Arial" w:cs="Arial" w:hAnsi="Arial"/>
          <w:b w:val="true"/>
          <w:sz w:val="22"/>
        </w:rPr>
        <w:t>提交审查的BCR文档全文（极度简略版）</w:t>
      </w:r>
      <w:r>
        <w:rPr>
          <w:rFonts w:eastAsia="等线" w:ascii="Arial" w:cs="Arial" w:hAnsi="Arial"/>
          <w:sz w:val="22"/>
        </w:rPr>
        <w:t>：</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8280"/>
      </w:tblGrid>
      <w:tr>
        <w:tc>
          <w:tcPr>
            <w:tcW w:w="8280" w:type="dxa"/>
            <w:shd w:color="auto" w:val="clear" w:fill="f5f6f7"/>
            <w:tcMar>
              <w:top w:type="dxa" w:w="60"/>
              <w:left w:type="dxa" w:w="120"/>
              <w:bottom w:type="dxa" w:w="30"/>
              <w:right w:type="dxa" w:w="120"/>
            </w:tcMar>
          </w:tcPr>
          <w:p>
            <w:pPr>
              <w:spacing w:before="120" w:after="120" w:line="288" w:lineRule="auto"/>
              <w:jc w:val="left"/>
            </w:pPr>
            <w:r>
              <w:rPr>
                <w:rFonts w:eastAsia="Consolas" w:ascii="Consolas" w:cs="Consolas" w:hAnsi="Consolas"/>
                <w:color w:val="646a73"/>
                <w:sz w:val="22"/>
              </w:rPr>
              <w:t>Plain Text</w:t>
              <w:br w:type="textWrapping"/>
            </w:r>
            <w:r>
              <w:rPr>
                <w:rFonts w:eastAsia="Consolas" w:ascii="Consolas" w:cs="Consolas" w:hAnsi="Consolas"/>
                <w:sz w:val="22"/>
              </w:rPr>
              <w:t>**CLOUDPROCESSORS CONSORTIUM 有约束力的公司规则（控制者）**</w:t>
              <w:br/>
              <w:t>**CloudProcessors Consortium Binding Corporate Rules (Controllers)**</w:t>
              <w:br/>
              <w:t>**政策声明**</w:t>
              <w:br/>
              <w:br/>
              <w:t>**1. 我们的承诺**</w:t>
              <w:br/>
              <w:t>CloudProcessors Consortium及其全球成员公司致力于保护我们处理的个人数据。本BCR确立了我们在全球范围内传输个人数据时遵守的统一数据保护标准。</w:t>
              <w:br/>
              <w:t>*The CloudProcessors Consortium and its member companies worldwide are committed to protecting the personal data we process. These BCRs establish a unified data protection standard we adhere to when transferring personal data globally.*</w:t>
              <w:br/>
              <w:br/>
              <w:t>**2. 适用范围**</w:t>
              <w:br/>
              <w:t>本BCR适用于所有CloudProcessors Consortium成员，无论其位于何处。它规范了我们代表客户（数据控制者）处理个人数据时，在成员公司之间的数据传输。</w:t>
              <w:br/>
              <w:t>*These BCRs apply to all members of the CloudProcessors Consortium, regardless of location. They govern the transfer of personal data between member companies when we process personal data on behalf of our clients (data controllers).*</w:t>
              <w:br/>
              <w:t>(问题：明确描述了“代表客户”的处理者角色，却使用“控制者BCR”标题，存在根本性错误。)</w:t>
              <w:br/>
              <w:br/>
              <w:t>**3. 数据保护**</w:t>
              <w:br/>
              <w:t>我们承诺遵守适用的数据保护法律，包括GDPR的原则。我们会实施合理的安全措施来防止数据丢失、滥用和未经授权的访问。</w:t>
              <w:br/>
              <w:t>*We commit to complying with applicable data protection laws, including the principles of the GDPR. We will implement reasonable security measures to prevent data loss, misuse, and unauthorized access.*</w:t>
              <w:br/>
              <w:br/>
              <w:t>**4. 数据主体权利**</w:t>
              <w:br/>
              <w:t>我们尊重数据主体的权利。如果数据主体希望行使他们的权利，他们可以联系最初从其那里收集数据的客户（控制者）。</w:t>
              <w:br/>
              <w:t>*We respect the rights of data subjects. If a data subject wishes to exercise their rights, they may contact the client (controller) from whom the data was originally collected.*</w:t>
              <w:br/>
              <w:t>(问题：将数据主体权利的责任完全推给客户，未说明作为处理者的联盟成员应如何协助控制者履行义务。)</w:t>
              <w:br/>
              <w:br/>
              <w:t>**5. 法律约束力**</w:t>
              <w:br/>
              <w:t>同意本政策的成员受其约束。</w:t>
              <w:br/>
              <w:t>*Members who agree to this policy are bound by it.*</w:t>
              <w:br/>
              <w:t>(问题：未说明通过何种法律手段（如协议）使其具有约束力，对员工也无约束机制说明。)</w:t>
              <w:br/>
              <w:br/>
              <w:t>**6. 责任**</w:t>
              <w:br/>
              <w:t>违反本政策的成员将承担责任。</w:t>
              <w:br/>
              <w:t>*Members who breach this policy will be held liable.*</w:t>
              <w:br/>
              <w:t>(问题：未指定欧盟责任主体，未提及对数据主体的赔偿责任。)</w:t>
              <w:br/>
              <w:br/>
            </w:r>
            <w:r>
              <w:rPr>
                <w:rFonts w:eastAsia="Consolas" w:ascii="Consolas" w:cs="Consolas" w:hAnsi="Consolas"/>
                <w:sz w:val="22"/>
              </w:rPr>
              <w:t>**（文档结束，无其他章节）**</w:t>
            </w:r>
          </w:p>
        </w:tc>
      </w:tr>
    </w:tbl>
    <w:p>
      <w:pPr>
        <w:spacing w:before="120" w:after="120" w:line="288" w:lineRule="auto"/>
        <w:ind w:left="0"/>
        <w:jc w:val="left"/>
      </w:pPr>
      <w:r>
        <w:rPr>
          <w:rFonts w:eastAsia="等线" w:ascii="Arial" w:cs="Arial" w:hAnsi="Arial"/>
          <w:b w:val="true"/>
          <w:sz w:val="22"/>
        </w:rPr>
        <w:t>预期输出（《BCR-C合规审查报告》核心发现）</w:t>
      </w:r>
      <w:r>
        <w:rPr>
          <w:rFonts w:eastAsia="等线" w:ascii="Arial" w:cs="Arial" w:hAnsi="Arial"/>
          <w:sz w:val="22"/>
        </w:rPr>
        <w:t>：</w:t>
      </w:r>
    </w:p>
    <w:p>
      <w:pPr>
        <w:numPr>
          <w:numId w:val="42"/>
        </w:numPr>
        <w:spacing w:before="120" w:after="120" w:line="288" w:lineRule="auto"/>
        <w:ind w:left="0"/>
        <w:jc w:val="left"/>
      </w:pPr>
      <w:r>
        <w:rPr>
          <w:rFonts w:eastAsia="等线" w:ascii="Arial" w:cs="Arial" w:hAnsi="Arial"/>
          <w:b w:val="true"/>
          <w:sz w:val="22"/>
        </w:rPr>
        <w:t>总体合规评级</w:t>
      </w:r>
      <w:r>
        <w:rPr>
          <w:rFonts w:eastAsia="等线" w:ascii="Arial" w:cs="Arial" w:hAnsi="Arial"/>
          <w:sz w:val="22"/>
        </w:rPr>
        <w:t>：</w:t>
      </w:r>
      <w:r>
        <w:rPr>
          <w:rFonts w:eastAsia="等线" w:ascii="Arial" w:cs="Arial" w:hAnsi="Arial"/>
          <w:b w:val="true"/>
          <w:sz w:val="22"/>
        </w:rPr>
        <w:t>高风险</w:t>
      </w:r>
      <w:r>
        <w:rPr>
          <w:rFonts w:eastAsia="等线" w:ascii="Arial" w:cs="Arial" w:hAnsi="Arial"/>
          <w:sz w:val="22"/>
        </w:rPr>
        <w:t>。提交的文档</w:t>
      </w:r>
      <w:r>
        <w:rPr>
          <w:rFonts w:eastAsia="等线" w:ascii="Arial" w:cs="Arial" w:hAnsi="Arial"/>
          <w:b w:val="true"/>
          <w:sz w:val="22"/>
        </w:rPr>
        <w:t>严重不符合BCR-C的基本要求</w:t>
      </w:r>
      <w:r>
        <w:rPr>
          <w:rFonts w:eastAsia="等线" w:ascii="Arial" w:cs="Arial" w:hAnsi="Arial"/>
          <w:sz w:val="22"/>
        </w:rPr>
        <w:t>。文档结构极度缺失，未包含EDPB建议中要求的绝大多数核心要素。更严重的是，文档描述的业务场景（代表客户处理数据）属于</w:t>
      </w:r>
      <w:r>
        <w:rPr>
          <w:rFonts w:eastAsia="等线" w:ascii="Arial" w:cs="Arial" w:hAnsi="Arial"/>
          <w:b w:val="true"/>
          <w:sz w:val="22"/>
        </w:rPr>
        <w:t>处理者（Processor）</w:t>
      </w:r>
      <w:r>
        <w:rPr>
          <w:rFonts w:eastAsia="等线" w:ascii="Arial" w:cs="Arial" w:hAnsi="Arial"/>
          <w:sz w:val="22"/>
        </w:rPr>
        <w:t xml:space="preserve"> 活动，应适用</w:t>
      </w:r>
      <w:r>
        <w:rPr>
          <w:rFonts w:eastAsia="等线" w:ascii="Arial" w:cs="Arial" w:hAnsi="Arial"/>
          <w:b w:val="true"/>
          <w:sz w:val="22"/>
        </w:rPr>
        <w:t>BCR-P（处理者BCR）</w:t>
      </w:r>
      <w:r>
        <w:rPr>
          <w:rFonts w:eastAsia="等线" w:ascii="Arial" w:cs="Arial" w:hAnsi="Arial"/>
          <w:sz w:val="22"/>
        </w:rPr>
        <w:t>，而非BCR-C。使用错误的模块将导致根本性合规失败。</w:t>
      </w:r>
    </w:p>
    <w:p>
      <w:pPr>
        <w:numPr>
          <w:numId w:val="43"/>
        </w:numPr>
        <w:spacing w:before="120" w:after="120" w:line="288" w:lineRule="auto"/>
        <w:ind w:left="0"/>
        <w:jc w:val="left"/>
      </w:pPr>
      <w:r>
        <w:rPr>
          <w:rFonts w:eastAsia="等线" w:ascii="Arial" w:cs="Arial" w:hAnsi="Arial"/>
          <w:b w:val="true"/>
          <w:sz w:val="22"/>
        </w:rPr>
        <w:t>主要发现摘要</w:t>
      </w:r>
      <w:r>
        <w:rPr>
          <w:rFonts w:eastAsia="等线" w:ascii="Arial" w:cs="Arial" w:hAnsi="Arial"/>
          <w:sz w:val="22"/>
        </w:rPr>
        <w:t>：</w:t>
      </w:r>
    </w:p>
    <w:p>
      <w:pPr>
        <w:numPr>
          <w:numId w:val="44"/>
        </w:numPr>
        <w:spacing w:before="120" w:after="120" w:line="288" w:lineRule="auto"/>
        <w:ind w:left="453"/>
        <w:jc w:val="left"/>
      </w:pPr>
      <w:r>
        <w:rPr>
          <w:rFonts w:eastAsia="等线" w:ascii="Arial" w:cs="Arial" w:hAnsi="Arial"/>
          <w:sz w:val="22"/>
        </w:rPr>
        <w:t>发现的问题总数：</w:t>
      </w:r>
      <w:r>
        <w:rPr>
          <w:rFonts w:eastAsia="等线" w:ascii="Arial" w:cs="Arial" w:hAnsi="Arial"/>
          <w:b w:val="true"/>
          <w:sz w:val="22"/>
        </w:rPr>
        <w:t>多项高风险和结构性问题</w:t>
      </w:r>
      <w:r>
        <w:rPr>
          <w:rFonts w:eastAsia="等线" w:ascii="Arial" w:cs="Arial" w:hAnsi="Arial"/>
          <w:sz w:val="22"/>
        </w:rPr>
        <w:t>。</w:t>
      </w:r>
    </w:p>
    <w:p>
      <w:pPr>
        <w:numPr>
          <w:numId w:val="45"/>
        </w:numPr>
        <w:spacing w:before="120" w:after="120" w:line="288" w:lineRule="auto"/>
        <w:ind w:left="453"/>
        <w:jc w:val="left"/>
      </w:pPr>
      <w:r>
        <w:rPr>
          <w:rFonts w:eastAsia="等线" w:ascii="Arial" w:cs="Arial" w:hAnsi="Arial"/>
          <w:sz w:val="22"/>
        </w:rPr>
        <w:t>高风险问题简述：1) 模块选择错误（应为BCR-P，而非BCR-C）；2) 结构严重缺失（缺少法律约束力、责任主体、第三方受益人权利、数据保护原则、TIA等核心章节）；3) 内容缺乏可执行性。</w:t>
      </w:r>
    </w:p>
    <w:p>
      <w:pPr>
        <w:numPr>
          <w:numId w:val="46"/>
        </w:numPr>
        <w:spacing w:before="120" w:after="120" w:line="288" w:lineRule="auto"/>
        <w:ind w:left="0"/>
        <w:jc w:val="left"/>
      </w:pPr>
      <w:r>
        <w:rPr>
          <w:rFonts w:eastAsia="等线" w:ascii="Arial" w:cs="Arial" w:hAnsi="Arial"/>
          <w:b w:val="true"/>
          <w:sz w:val="22"/>
        </w:rPr>
        <w:t>条款级审查发现（示例）</w:t>
      </w:r>
      <w:r>
        <w:rPr>
          <w:rFonts w:eastAsia="等线" w:ascii="Arial" w:cs="Arial" w:hAnsi="Arial"/>
          <w:sz w:val="22"/>
        </w:rPr>
        <w:t>：</w:t>
      </w:r>
    </w:p>
    <w:p>
      <w:pPr>
        <w:numPr>
          <w:numId w:val="47"/>
        </w:numPr>
        <w:spacing w:before="120" w:after="120" w:line="288" w:lineRule="auto"/>
        <w:ind w:left="453"/>
        <w:jc w:val="left"/>
      </w:pPr>
      <w:r>
        <w:rPr>
          <w:rFonts w:eastAsia="等线" w:ascii="Arial" w:cs="Arial" w:hAnsi="Arial"/>
          <w:b w:val="true"/>
          <w:sz w:val="22"/>
        </w:rPr>
        <w:t>定位</w:t>
      </w:r>
      <w:r>
        <w:rPr>
          <w:rFonts w:eastAsia="等线" w:ascii="Arial" w:cs="Arial" w:hAnsi="Arial"/>
          <w:sz w:val="22"/>
        </w:rPr>
        <w:t>：文档标题及整体内容。</w:t>
      </w:r>
    </w:p>
    <w:p>
      <w:pPr>
        <w:numPr>
          <w:numId w:val="48"/>
        </w:numPr>
        <w:spacing w:before="120" w:after="120" w:line="288" w:lineRule="auto"/>
        <w:ind w:left="453"/>
        <w:jc w:val="left"/>
      </w:pPr>
      <w:r>
        <w:rPr>
          <w:rFonts w:eastAsia="等线" w:ascii="Arial" w:cs="Arial" w:hAnsi="Arial"/>
          <w:b w:val="true"/>
          <w:sz w:val="22"/>
        </w:rPr>
        <w:t>审查要点</w:t>
      </w:r>
      <w:r>
        <w:rPr>
          <w:rFonts w:eastAsia="等线" w:ascii="Arial" w:cs="Arial" w:hAnsi="Arial"/>
          <w:sz w:val="22"/>
        </w:rPr>
        <w:t>：文档类型与内容一致性。</w:t>
      </w:r>
    </w:p>
    <w:p>
      <w:pPr>
        <w:numPr>
          <w:numId w:val="49"/>
        </w:numPr>
        <w:spacing w:before="120" w:after="120" w:line="288" w:lineRule="auto"/>
        <w:ind w:left="453"/>
        <w:jc w:val="left"/>
      </w:pPr>
      <w:r>
        <w:rPr>
          <w:rFonts w:eastAsia="等线" w:ascii="Arial" w:cs="Arial" w:hAnsi="Arial"/>
          <w:b w:val="true"/>
          <w:sz w:val="22"/>
        </w:rPr>
        <w:t>审查结果</w:t>
      </w:r>
      <w:r>
        <w:rPr>
          <w:rFonts w:eastAsia="等线" w:ascii="Arial" w:cs="Arial" w:hAnsi="Arial"/>
          <w:sz w:val="22"/>
        </w:rPr>
        <w:t>：</w:t>
      </w:r>
      <w:r>
        <w:rPr>
          <w:rFonts w:eastAsia="等线" w:ascii="Arial" w:cs="Arial" w:hAnsi="Arial"/>
          <w:b w:val="true"/>
          <w:sz w:val="22"/>
        </w:rPr>
        <w:t>严重不一致/错误</w:t>
      </w:r>
      <w:r>
        <w:rPr>
          <w:rFonts w:eastAsia="等线" w:ascii="Arial" w:cs="Arial" w:hAnsi="Arial"/>
          <w:sz w:val="22"/>
        </w:rPr>
        <w:t>。</w:t>
      </w:r>
    </w:p>
    <w:p>
      <w:pPr>
        <w:numPr>
          <w:numId w:val="50"/>
        </w:numPr>
        <w:spacing w:before="120" w:after="120" w:line="288" w:lineRule="auto"/>
        <w:ind w:left="453"/>
        <w:jc w:val="left"/>
      </w:pPr>
      <w:r>
        <w:rPr>
          <w:rFonts w:eastAsia="等线" w:ascii="Arial" w:cs="Arial" w:hAnsi="Arial"/>
          <w:b w:val="true"/>
          <w:sz w:val="22"/>
        </w:rPr>
        <w:t>问题描述</w:t>
      </w:r>
      <w:r>
        <w:rPr>
          <w:rFonts w:eastAsia="等线" w:ascii="Arial" w:cs="Arial" w:hAnsi="Arial"/>
          <w:sz w:val="22"/>
        </w:rPr>
        <w:t>：文档标题声称是“BCR for Controllers”，但内容反复提及“代表客户”、“根据客户指示”处理数据（例如第2、4条）。这明确描述了</w:t>
      </w:r>
      <w:r>
        <w:rPr>
          <w:rFonts w:eastAsia="等线" w:ascii="Arial" w:cs="Arial" w:hAnsi="Arial"/>
          <w:b w:val="true"/>
          <w:sz w:val="22"/>
        </w:rPr>
        <w:t>数据处理者（Processor）</w:t>
      </w:r>
      <w:r>
        <w:rPr>
          <w:rFonts w:eastAsia="等线" w:ascii="Arial" w:cs="Arial" w:hAnsi="Arial"/>
          <w:sz w:val="22"/>
        </w:rPr>
        <w:t xml:space="preserve"> 的角色。根据GDPR第28条和EDPB Recommendations 2/2022，此类场景应制定</w:t>
      </w:r>
      <w:r>
        <w:rPr>
          <w:rFonts w:eastAsia="等线" w:ascii="Arial" w:cs="Arial" w:hAnsi="Arial"/>
          <w:b w:val="true"/>
          <w:sz w:val="22"/>
        </w:rPr>
        <w:t>BCR-P（处理者BCR）</w:t>
      </w:r>
      <w:r>
        <w:rPr>
          <w:rFonts w:eastAsia="等线" w:ascii="Arial" w:cs="Arial" w:hAnsi="Arial"/>
          <w:sz w:val="22"/>
        </w:rPr>
        <w:t>。使用BCR-C模板是根本性错误。</w:t>
      </w:r>
    </w:p>
    <w:p>
      <w:pPr>
        <w:numPr>
          <w:numId w:val="51"/>
        </w:numPr>
        <w:spacing w:before="120" w:after="120" w:line="288" w:lineRule="auto"/>
        <w:ind w:left="453"/>
        <w:jc w:val="left"/>
      </w:pPr>
      <w:r>
        <w:rPr>
          <w:rFonts w:eastAsia="等线" w:ascii="Arial" w:cs="Arial" w:hAnsi="Arial"/>
          <w:b w:val="true"/>
          <w:sz w:val="22"/>
        </w:rPr>
        <w:t>改进建议</w:t>
      </w:r>
      <w:r>
        <w:rPr>
          <w:rFonts w:eastAsia="等线" w:ascii="Arial" w:cs="Arial" w:hAnsi="Arial"/>
          <w:sz w:val="22"/>
        </w:rPr>
        <w:t>：</w:t>
      </w:r>
      <w:r>
        <w:rPr>
          <w:rFonts w:eastAsia="等线" w:ascii="Arial" w:cs="Arial" w:hAnsi="Arial"/>
          <w:b w:val="true"/>
          <w:sz w:val="22"/>
        </w:rPr>
        <w:t>必须重新评估业务场景</w:t>
      </w:r>
      <w:r>
        <w:rPr>
          <w:rFonts w:eastAsia="等线" w:ascii="Arial" w:cs="Arial" w:hAnsi="Arial"/>
          <w:sz w:val="22"/>
        </w:rPr>
        <w:t>。如果集团成员是作为处理者为外部控制者服务，则应参考EDPB Recommendations 2/2022，起草</w:t>
      </w:r>
      <w:r>
        <w:rPr>
          <w:rFonts w:eastAsia="等线" w:ascii="Arial" w:cs="Arial" w:hAnsi="Arial"/>
          <w:b w:val="true"/>
          <w:sz w:val="22"/>
        </w:rPr>
        <w:t>BCR-P（处理者BCR）</w:t>
      </w:r>
      <w:r>
        <w:rPr>
          <w:rFonts w:eastAsia="等线" w:ascii="Arial" w:cs="Arial" w:hAnsi="Arial"/>
          <w:sz w:val="22"/>
        </w:rPr>
        <w:t>。BCR-P的要求与BCR-C有显著不同，特别是要体现对控制者指令的遵守（GDPR第28条）。</w:t>
      </w:r>
    </w:p>
    <w:p>
      <w:pPr>
        <w:numPr>
          <w:numId w:val="52"/>
        </w:numPr>
        <w:spacing w:before="120" w:after="120" w:line="288" w:lineRule="auto"/>
        <w:ind w:left="453"/>
        <w:jc w:val="left"/>
      </w:pPr>
      <w:r>
        <w:rPr>
          <w:rFonts w:eastAsia="等线" w:ascii="Arial" w:cs="Arial" w:hAnsi="Arial"/>
          <w:b w:val="true"/>
          <w:sz w:val="22"/>
        </w:rPr>
        <w:t>定位</w:t>
      </w:r>
      <w:r>
        <w:rPr>
          <w:rFonts w:eastAsia="等线" w:ascii="Arial" w:cs="Arial" w:hAnsi="Arial"/>
          <w:sz w:val="22"/>
        </w:rPr>
        <w:t>：全文结构。</w:t>
      </w:r>
    </w:p>
    <w:p>
      <w:pPr>
        <w:numPr>
          <w:numId w:val="53"/>
        </w:numPr>
        <w:spacing w:before="120" w:after="120" w:line="288" w:lineRule="auto"/>
        <w:ind w:left="453"/>
        <w:jc w:val="left"/>
      </w:pPr>
      <w:r>
        <w:rPr>
          <w:rFonts w:eastAsia="等线" w:ascii="Arial" w:cs="Arial" w:hAnsi="Arial"/>
          <w:b w:val="true"/>
          <w:sz w:val="22"/>
        </w:rPr>
        <w:t>审查要点</w:t>
      </w:r>
      <w:r>
        <w:rPr>
          <w:rFonts w:eastAsia="等线" w:ascii="Arial" w:cs="Arial" w:hAnsi="Arial"/>
          <w:sz w:val="22"/>
        </w:rPr>
        <w:t>：是否包含所有EDPB要求的核心章节？</w:t>
      </w:r>
    </w:p>
    <w:p>
      <w:pPr>
        <w:numPr>
          <w:numId w:val="54"/>
        </w:numPr>
        <w:spacing w:before="120" w:after="120" w:line="288" w:lineRule="auto"/>
        <w:ind w:left="453"/>
        <w:jc w:val="left"/>
      </w:pPr>
      <w:r>
        <w:rPr>
          <w:rFonts w:eastAsia="等线" w:ascii="Arial" w:cs="Arial" w:hAnsi="Arial"/>
          <w:b w:val="true"/>
          <w:sz w:val="22"/>
        </w:rPr>
        <w:t>审查结果</w:t>
      </w:r>
      <w:r>
        <w:rPr>
          <w:rFonts w:eastAsia="等线" w:ascii="Arial" w:cs="Arial" w:hAnsi="Arial"/>
          <w:sz w:val="22"/>
        </w:rPr>
        <w:t>：</w:t>
      </w:r>
      <w:r>
        <w:rPr>
          <w:rFonts w:eastAsia="等线" w:ascii="Arial" w:cs="Arial" w:hAnsi="Arial"/>
          <w:b w:val="true"/>
          <w:sz w:val="22"/>
        </w:rPr>
        <w:t>严重缺失</w:t>
      </w:r>
      <w:r>
        <w:rPr>
          <w:rFonts w:eastAsia="等线" w:ascii="Arial" w:cs="Arial" w:hAnsi="Arial"/>
          <w:sz w:val="22"/>
        </w:rPr>
        <w:t>。</w:t>
      </w:r>
    </w:p>
    <w:p>
      <w:pPr>
        <w:numPr>
          <w:numId w:val="55"/>
        </w:numPr>
        <w:spacing w:before="120" w:after="120" w:line="288" w:lineRule="auto"/>
        <w:ind w:left="453"/>
        <w:jc w:val="left"/>
      </w:pPr>
      <w:r>
        <w:rPr>
          <w:rFonts w:eastAsia="等线" w:ascii="Arial" w:cs="Arial" w:hAnsi="Arial"/>
          <w:b w:val="true"/>
          <w:sz w:val="22"/>
        </w:rPr>
        <w:t>问题描述</w:t>
      </w:r>
      <w:r>
        <w:rPr>
          <w:rFonts w:eastAsia="等线" w:ascii="Arial" w:cs="Arial" w:hAnsi="Arial"/>
          <w:sz w:val="22"/>
        </w:rPr>
        <w:t>：文档仅包含6条简短的声明，</w:t>
      </w:r>
      <w:r>
        <w:rPr>
          <w:rFonts w:eastAsia="等线" w:ascii="Arial" w:cs="Arial" w:hAnsi="Arial"/>
          <w:b w:val="true"/>
          <w:sz w:val="22"/>
        </w:rPr>
        <w:t>缺失了EDPB建议表格中要求的所有核心章节</w:t>
      </w:r>
      <w:r>
        <w:rPr>
          <w:rFonts w:eastAsia="等线" w:ascii="Arial" w:cs="Arial" w:hAnsi="Arial"/>
          <w:sz w:val="22"/>
        </w:rPr>
        <w:t>，例如：具有法律约束力的内部机制、第三方受益人权利、明确的欧盟责任主体与赔偿条款、详细的数据保护原则、数据主体权利及其可执行机制、第三国法律风险评估（TIA）承诺、具体的投诉处理流程、培训审计等有效性机制、BCR更新程序等。</w:t>
      </w:r>
    </w:p>
    <w:p>
      <w:pPr>
        <w:numPr>
          <w:numId w:val="56"/>
        </w:numPr>
        <w:spacing w:before="120" w:after="120" w:line="288" w:lineRule="auto"/>
        <w:ind w:left="453"/>
        <w:jc w:val="left"/>
      </w:pPr>
      <w:r>
        <w:rPr>
          <w:rFonts w:eastAsia="等线" w:ascii="Arial" w:cs="Arial" w:hAnsi="Arial"/>
          <w:b w:val="true"/>
          <w:sz w:val="22"/>
        </w:rPr>
        <w:t>改进建议</w:t>
      </w:r>
      <w:r>
        <w:rPr>
          <w:rFonts w:eastAsia="等线" w:ascii="Arial" w:cs="Arial" w:hAnsi="Arial"/>
          <w:sz w:val="22"/>
        </w:rPr>
        <w:t>：</w:t>
      </w:r>
      <w:r>
        <w:rPr>
          <w:rFonts w:eastAsia="等线" w:ascii="Arial" w:cs="Arial" w:hAnsi="Arial"/>
          <w:b w:val="true"/>
          <w:sz w:val="22"/>
        </w:rPr>
        <w:t>必须完全重构文档</w:t>
      </w:r>
      <w:r>
        <w:rPr>
          <w:rFonts w:eastAsia="等线" w:ascii="Arial" w:cs="Arial" w:hAnsi="Arial"/>
          <w:sz w:val="22"/>
        </w:rPr>
        <w:t>。应严格依据EDPB Recommendations 1/2022（对于BCR-C）或2/2022（对于BCR-P）中“Elements and Principles”表格的“In BCR-C”或“In BCR-P”列，逐一创建所有必需的章节和条款。</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844722">
    <w:lvl>
      <w:start w:val="1"/>
      <w:numFmt w:val="decimal"/>
      <w:suff w:val="tab"/>
      <w:lvlText w:val="%1."/>
      <w:rPr>
        <w:color w:val="3370ff"/>
      </w:rPr>
    </w:lvl>
  </w:abstractNum>
  <w:abstractNum w:abstractNumId="1844723">
    <w:lvl>
      <w:start w:val="2"/>
      <w:numFmt w:val="decimal"/>
      <w:suff w:val="tab"/>
      <w:lvlText w:val="%1."/>
      <w:rPr>
        <w:color w:val="3370ff"/>
      </w:rPr>
    </w:lvl>
  </w:abstractNum>
  <w:abstractNum w:abstractNumId="1844724">
    <w:lvl>
      <w:start w:val="3"/>
      <w:numFmt w:val="decimal"/>
      <w:suff w:val="tab"/>
      <w:lvlText w:val="%1."/>
      <w:rPr>
        <w:color w:val="3370ff"/>
      </w:rPr>
    </w:lvl>
  </w:abstractNum>
  <w:abstractNum w:abstractNumId="1844725">
    <w:lvl>
      <w:start w:val="1"/>
      <w:numFmt w:val="decimal"/>
      <w:suff w:val="tab"/>
      <w:lvlText w:val="%1."/>
      <w:rPr>
        <w:color w:val="3370ff"/>
      </w:rPr>
    </w:lvl>
  </w:abstractNum>
  <w:abstractNum w:abstractNumId="1844726">
    <w:lvl>
      <w:start w:val="2"/>
      <w:numFmt w:val="decimal"/>
      <w:suff w:val="tab"/>
      <w:lvlText w:val="%1."/>
      <w:rPr>
        <w:color w:val="3370ff"/>
      </w:rPr>
    </w:lvl>
  </w:abstractNum>
  <w:abstractNum w:abstractNumId="1844727">
    <w:lvl>
      <w:numFmt w:val="bullet"/>
      <w:suff w:val="tab"/>
      <w:lvlText w:val="￮"/>
      <w:rPr>
        <w:color w:val="3370ff"/>
      </w:rPr>
    </w:lvl>
  </w:abstractNum>
  <w:abstractNum w:abstractNumId="1844728">
    <w:lvl>
      <w:numFmt w:val="bullet"/>
      <w:suff w:val="tab"/>
      <w:lvlText w:val="￮"/>
      <w:rPr>
        <w:color w:val="3370ff"/>
      </w:rPr>
    </w:lvl>
  </w:abstractNum>
  <w:abstractNum w:abstractNumId="1844729">
    <w:lvl>
      <w:start w:val="3"/>
      <w:numFmt w:val="decimal"/>
      <w:suff w:val="tab"/>
      <w:lvlText w:val="%1."/>
      <w:rPr>
        <w:color w:val="3370ff"/>
      </w:rPr>
    </w:lvl>
  </w:abstractNum>
  <w:abstractNum w:abstractNumId="1844730">
    <w:lvl>
      <w:numFmt w:val="bullet"/>
      <w:suff w:val="tab"/>
      <w:lvlText w:val="￮"/>
      <w:rPr>
        <w:color w:val="3370ff"/>
      </w:rPr>
    </w:lvl>
  </w:abstractNum>
  <w:abstractNum w:abstractNumId="1844731">
    <w:lvl>
      <w:numFmt w:val="bullet"/>
      <w:suff w:val="tab"/>
      <w:lvlText w:val="￮"/>
      <w:rPr>
        <w:color w:val="3370ff"/>
      </w:rPr>
    </w:lvl>
  </w:abstractNum>
  <w:abstractNum w:abstractNumId="1844732">
    <w:lvl>
      <w:numFmt w:val="bullet"/>
      <w:suff w:val="tab"/>
      <w:lvlText w:val="￮"/>
      <w:rPr>
        <w:color w:val="3370ff"/>
      </w:rPr>
    </w:lvl>
  </w:abstractNum>
  <w:abstractNum w:abstractNumId="1844733">
    <w:lvl>
      <w:numFmt w:val="bullet"/>
      <w:suff w:val="tab"/>
      <w:lvlText w:val="￮"/>
      <w:rPr>
        <w:color w:val="3370ff"/>
      </w:rPr>
    </w:lvl>
  </w:abstractNum>
  <w:abstractNum w:abstractNumId="1844734">
    <w:lvl>
      <w:numFmt w:val="bullet"/>
      <w:suff w:val="tab"/>
      <w:lvlText w:val="￮"/>
      <w:rPr>
        <w:color w:val="3370ff"/>
      </w:rPr>
    </w:lvl>
  </w:abstractNum>
  <w:abstractNum w:abstractNumId="1844735">
    <w:lvl>
      <w:numFmt w:val="bullet"/>
      <w:suff w:val="tab"/>
      <w:lvlText w:val="￮"/>
      <w:rPr>
        <w:color w:val="3370ff"/>
      </w:rPr>
    </w:lvl>
  </w:abstractNum>
  <w:abstractNum w:abstractNumId="1844736">
    <w:lvl>
      <w:numFmt w:val="bullet"/>
      <w:suff w:val="tab"/>
      <w:lvlText w:val="￮"/>
      <w:rPr>
        <w:color w:val="3370ff"/>
      </w:rPr>
    </w:lvl>
  </w:abstractNum>
  <w:abstractNum w:abstractNumId="1844737">
    <w:lvl>
      <w:numFmt w:val="bullet"/>
      <w:suff w:val="tab"/>
      <w:lvlText w:val="￮"/>
      <w:rPr>
        <w:color w:val="3370ff"/>
      </w:rPr>
    </w:lvl>
  </w:abstractNum>
  <w:abstractNum w:abstractNumId="1844738">
    <w:lvl>
      <w:numFmt w:val="bullet"/>
      <w:suff w:val="tab"/>
      <w:lvlText w:val="￮"/>
      <w:rPr>
        <w:color w:val="3370ff"/>
      </w:rPr>
    </w:lvl>
  </w:abstractNum>
  <w:abstractNum w:abstractNumId="1844739">
    <w:lvl>
      <w:numFmt w:val="bullet"/>
      <w:suff w:val="tab"/>
      <w:lvlText w:val="￮"/>
      <w:rPr>
        <w:color w:val="3370ff"/>
      </w:rPr>
    </w:lvl>
  </w:abstractNum>
  <w:abstractNum w:abstractNumId="1844740">
    <w:lvl>
      <w:numFmt w:val="bullet"/>
      <w:suff w:val="tab"/>
      <w:lvlText w:val="￮"/>
      <w:rPr>
        <w:color w:val="3370ff"/>
      </w:rPr>
    </w:lvl>
  </w:abstractNum>
  <w:abstractNum w:abstractNumId="1844741">
    <w:lvl>
      <w:numFmt w:val="bullet"/>
      <w:suff w:val="tab"/>
      <w:lvlText w:val="￮"/>
      <w:rPr>
        <w:color w:val="3370ff"/>
      </w:rPr>
    </w:lvl>
  </w:abstractNum>
  <w:abstractNum w:abstractNumId="1844742">
    <w:lvl>
      <w:start w:val="1"/>
      <w:numFmt w:val="decimal"/>
      <w:suff w:val="tab"/>
      <w:lvlText w:val="%1."/>
      <w:rPr>
        <w:color w:val="3370ff"/>
      </w:rPr>
    </w:lvl>
  </w:abstractNum>
  <w:abstractNum w:abstractNumId="1844743">
    <w:lvl>
      <w:start w:val="2"/>
      <w:numFmt w:val="decimal"/>
      <w:suff w:val="tab"/>
      <w:lvlText w:val="%1."/>
      <w:rPr>
        <w:color w:val="3370ff"/>
      </w:rPr>
    </w:lvl>
  </w:abstractNum>
  <w:abstractNum w:abstractNumId="1844744">
    <w:lvl>
      <w:start w:val="3"/>
      <w:numFmt w:val="decimal"/>
      <w:suff w:val="tab"/>
      <w:lvlText w:val="%1."/>
      <w:rPr>
        <w:color w:val="3370ff"/>
      </w:rPr>
    </w:lvl>
  </w:abstractNum>
  <w:abstractNum w:abstractNumId="1844745">
    <w:lvl>
      <w:start w:val="1"/>
      <w:numFmt w:val="decimal"/>
      <w:suff w:val="tab"/>
      <w:lvlText w:val="%1."/>
      <w:rPr>
        <w:color w:val="3370ff"/>
      </w:rPr>
    </w:lvl>
  </w:abstractNum>
  <w:abstractNum w:abstractNumId="1844746">
    <w:lvl>
      <w:start w:val="2"/>
      <w:numFmt w:val="decimal"/>
      <w:suff w:val="tab"/>
      <w:lvlText w:val="%1."/>
      <w:rPr>
        <w:color w:val="3370ff"/>
      </w:rPr>
    </w:lvl>
  </w:abstractNum>
  <w:abstractNum w:abstractNumId="1844747">
    <w:lvl>
      <w:numFmt w:val="bullet"/>
      <w:suff w:val="tab"/>
      <w:lvlText w:val="￮"/>
      <w:rPr>
        <w:color w:val="3370ff"/>
      </w:rPr>
    </w:lvl>
  </w:abstractNum>
  <w:abstractNum w:abstractNumId="1844748">
    <w:lvl>
      <w:numFmt w:val="bullet"/>
      <w:suff w:val="tab"/>
      <w:lvlText w:val="￮"/>
      <w:rPr>
        <w:color w:val="3370ff"/>
      </w:rPr>
    </w:lvl>
  </w:abstractNum>
  <w:abstractNum w:abstractNumId="1844749">
    <w:lvl>
      <w:start w:val="3"/>
      <w:numFmt w:val="decimal"/>
      <w:suff w:val="tab"/>
      <w:lvlText w:val="%1."/>
      <w:rPr>
        <w:color w:val="3370ff"/>
      </w:rPr>
    </w:lvl>
  </w:abstractNum>
  <w:abstractNum w:abstractNumId="1844750">
    <w:lvl>
      <w:numFmt w:val="bullet"/>
      <w:suff w:val="tab"/>
      <w:lvlText w:val="￮"/>
      <w:rPr>
        <w:color w:val="3370ff"/>
      </w:rPr>
    </w:lvl>
  </w:abstractNum>
  <w:abstractNum w:abstractNumId="1844751">
    <w:lvl>
      <w:numFmt w:val="bullet"/>
      <w:suff w:val="tab"/>
      <w:lvlText w:val="￮"/>
      <w:rPr>
        <w:color w:val="3370ff"/>
      </w:rPr>
    </w:lvl>
  </w:abstractNum>
  <w:abstractNum w:abstractNumId="1844752">
    <w:lvl>
      <w:numFmt w:val="bullet"/>
      <w:suff w:val="tab"/>
      <w:lvlText w:val="￮"/>
      <w:rPr>
        <w:color w:val="3370ff"/>
      </w:rPr>
    </w:lvl>
  </w:abstractNum>
  <w:abstractNum w:abstractNumId="1844753">
    <w:lvl>
      <w:numFmt w:val="bullet"/>
      <w:suff w:val="tab"/>
      <w:lvlText w:val="￮"/>
      <w:rPr>
        <w:color w:val="3370ff"/>
      </w:rPr>
    </w:lvl>
  </w:abstractNum>
  <w:abstractNum w:abstractNumId="1844754">
    <w:lvl>
      <w:numFmt w:val="bullet"/>
      <w:suff w:val="tab"/>
      <w:lvlText w:val="￮"/>
      <w:rPr>
        <w:color w:val="3370ff"/>
      </w:rPr>
    </w:lvl>
  </w:abstractNum>
  <w:abstractNum w:abstractNumId="1844755">
    <w:lvl>
      <w:numFmt w:val="bullet"/>
      <w:suff w:val="tab"/>
      <w:lvlText w:val="￮"/>
      <w:rPr>
        <w:color w:val="3370ff"/>
      </w:rPr>
    </w:lvl>
  </w:abstractNum>
  <w:abstractNum w:abstractNumId="1844756">
    <w:lvl>
      <w:numFmt w:val="bullet"/>
      <w:suff w:val="tab"/>
      <w:lvlText w:val="￮"/>
      <w:rPr>
        <w:color w:val="3370ff"/>
      </w:rPr>
    </w:lvl>
  </w:abstractNum>
  <w:abstractNum w:abstractNumId="1844757">
    <w:lvl>
      <w:numFmt w:val="bullet"/>
      <w:suff w:val="tab"/>
      <w:lvlText w:val="￮"/>
      <w:rPr>
        <w:color w:val="3370ff"/>
      </w:rPr>
    </w:lvl>
  </w:abstractNum>
  <w:abstractNum w:abstractNumId="1844758">
    <w:lvl>
      <w:numFmt w:val="bullet"/>
      <w:suff w:val="tab"/>
      <w:lvlText w:val="￮"/>
      <w:rPr>
        <w:color w:val="3370ff"/>
      </w:rPr>
    </w:lvl>
  </w:abstractNum>
  <w:abstractNum w:abstractNumId="1844759">
    <w:lvl>
      <w:numFmt w:val="bullet"/>
      <w:suff w:val="tab"/>
      <w:lvlText w:val="￮"/>
      <w:rPr>
        <w:color w:val="3370ff"/>
      </w:rPr>
    </w:lvl>
  </w:abstractNum>
  <w:abstractNum w:abstractNumId="1844760">
    <w:lvl>
      <w:start w:val="1"/>
      <w:numFmt w:val="decimal"/>
      <w:suff w:val="tab"/>
      <w:lvlText w:val="%1."/>
      <w:rPr>
        <w:color w:val="3370ff"/>
      </w:rPr>
    </w:lvl>
  </w:abstractNum>
  <w:abstractNum w:abstractNumId="1844761">
    <w:lvl>
      <w:start w:val="2"/>
      <w:numFmt w:val="decimal"/>
      <w:suff w:val="tab"/>
      <w:lvlText w:val="%1."/>
      <w:rPr>
        <w:color w:val="3370ff"/>
      </w:rPr>
    </w:lvl>
  </w:abstractNum>
  <w:abstractNum w:abstractNumId="1844762">
    <w:lvl>
      <w:start w:val="3"/>
      <w:numFmt w:val="decimal"/>
      <w:suff w:val="tab"/>
      <w:lvlText w:val="%1."/>
      <w:rPr>
        <w:color w:val="3370ff"/>
      </w:rPr>
    </w:lvl>
  </w:abstractNum>
  <w:abstractNum w:abstractNumId="1844763">
    <w:lvl>
      <w:start w:val="1"/>
      <w:numFmt w:val="decimal"/>
      <w:suff w:val="tab"/>
      <w:lvlText w:val="%1."/>
      <w:rPr>
        <w:color w:val="3370ff"/>
      </w:rPr>
    </w:lvl>
  </w:abstractNum>
  <w:abstractNum w:abstractNumId="1844764">
    <w:lvl>
      <w:start w:val="2"/>
      <w:numFmt w:val="decimal"/>
      <w:suff w:val="tab"/>
      <w:lvlText w:val="%1."/>
      <w:rPr>
        <w:color w:val="3370ff"/>
      </w:rPr>
    </w:lvl>
  </w:abstractNum>
  <w:abstractNum w:abstractNumId="1844765">
    <w:lvl>
      <w:numFmt w:val="bullet"/>
      <w:suff w:val="tab"/>
      <w:lvlText w:val="￮"/>
      <w:rPr>
        <w:color w:val="3370ff"/>
      </w:rPr>
    </w:lvl>
  </w:abstractNum>
  <w:abstractNum w:abstractNumId="1844766">
    <w:lvl>
      <w:numFmt w:val="bullet"/>
      <w:suff w:val="tab"/>
      <w:lvlText w:val="￮"/>
      <w:rPr>
        <w:color w:val="3370ff"/>
      </w:rPr>
    </w:lvl>
  </w:abstractNum>
  <w:abstractNum w:abstractNumId="1844767">
    <w:lvl>
      <w:start w:val="3"/>
      <w:numFmt w:val="decimal"/>
      <w:suff w:val="tab"/>
      <w:lvlText w:val="%1."/>
      <w:rPr>
        <w:color w:val="3370ff"/>
      </w:rPr>
    </w:lvl>
  </w:abstractNum>
  <w:abstractNum w:abstractNumId="1844768">
    <w:lvl>
      <w:numFmt w:val="bullet"/>
      <w:suff w:val="tab"/>
      <w:lvlText w:val="￮"/>
      <w:rPr>
        <w:color w:val="3370ff"/>
      </w:rPr>
    </w:lvl>
  </w:abstractNum>
  <w:abstractNum w:abstractNumId="1844769">
    <w:lvl>
      <w:numFmt w:val="bullet"/>
      <w:suff w:val="tab"/>
      <w:lvlText w:val="￮"/>
      <w:rPr>
        <w:color w:val="3370ff"/>
      </w:rPr>
    </w:lvl>
  </w:abstractNum>
  <w:abstractNum w:abstractNumId="1844770">
    <w:lvl>
      <w:numFmt w:val="bullet"/>
      <w:suff w:val="tab"/>
      <w:lvlText w:val="￮"/>
      <w:rPr>
        <w:color w:val="3370ff"/>
      </w:rPr>
    </w:lvl>
  </w:abstractNum>
  <w:abstractNum w:abstractNumId="1844771">
    <w:lvl>
      <w:numFmt w:val="bullet"/>
      <w:suff w:val="tab"/>
      <w:lvlText w:val="￮"/>
      <w:rPr>
        <w:color w:val="3370ff"/>
      </w:rPr>
    </w:lvl>
  </w:abstractNum>
  <w:abstractNum w:abstractNumId="1844772">
    <w:lvl>
      <w:numFmt w:val="bullet"/>
      <w:suff w:val="tab"/>
      <w:lvlText w:val="￮"/>
      <w:rPr>
        <w:color w:val="3370ff"/>
      </w:rPr>
    </w:lvl>
  </w:abstractNum>
  <w:abstractNum w:abstractNumId="1844773">
    <w:lvl>
      <w:numFmt w:val="bullet"/>
      <w:suff w:val="tab"/>
      <w:lvlText w:val="￮"/>
      <w:rPr>
        <w:color w:val="3370ff"/>
      </w:rPr>
    </w:lvl>
  </w:abstractNum>
  <w:abstractNum w:abstractNumId="1844774">
    <w:lvl>
      <w:numFmt w:val="bullet"/>
      <w:suff w:val="tab"/>
      <w:lvlText w:val="￮"/>
      <w:rPr>
        <w:color w:val="3370ff"/>
      </w:rPr>
    </w:lvl>
  </w:abstractNum>
  <w:abstractNum w:abstractNumId="1844775">
    <w:lvl>
      <w:numFmt w:val="bullet"/>
      <w:suff w:val="tab"/>
      <w:lvlText w:val="￮"/>
      <w:rPr>
        <w:color w:val="3370ff"/>
      </w:rPr>
    </w:lvl>
  </w:abstractNum>
  <w:abstractNum w:abstractNumId="1844776">
    <w:lvl>
      <w:numFmt w:val="bullet"/>
      <w:suff w:val="tab"/>
      <w:lvlText w:val="￮"/>
      <w:rPr>
        <w:color w:val="3370ff"/>
      </w:rPr>
    </w:lvl>
  </w:abstractNum>
  <w:abstractNum w:abstractNumId="1844777">
    <w:lvl>
      <w:numFmt w:val="bullet"/>
      <w:suff w:val="tab"/>
      <w:lvlText w:val="￮"/>
      <w:rPr>
        <w:color w:val="3370ff"/>
      </w:rPr>
    </w:lvl>
  </w:abstractNum>
  <w:num w:numId="1">
    <w:abstractNumId w:val="1844722"/>
  </w:num>
  <w:num w:numId="2">
    <w:abstractNumId w:val="1844723"/>
  </w:num>
  <w:num w:numId="3">
    <w:abstractNumId w:val="1844724"/>
  </w:num>
  <w:num w:numId="4">
    <w:abstractNumId w:val="1844725"/>
  </w:num>
  <w:num w:numId="5">
    <w:abstractNumId w:val="1844726"/>
  </w:num>
  <w:num w:numId="6">
    <w:abstractNumId w:val="1844727"/>
  </w:num>
  <w:num w:numId="7">
    <w:abstractNumId w:val="1844728"/>
  </w:num>
  <w:num w:numId="8">
    <w:abstractNumId w:val="1844729"/>
  </w:num>
  <w:num w:numId="9">
    <w:abstractNumId w:val="1844730"/>
  </w:num>
  <w:num w:numId="10">
    <w:abstractNumId w:val="1844731"/>
  </w:num>
  <w:num w:numId="11">
    <w:abstractNumId w:val="1844732"/>
  </w:num>
  <w:num w:numId="12">
    <w:abstractNumId w:val="1844733"/>
  </w:num>
  <w:num w:numId="13">
    <w:abstractNumId w:val="1844734"/>
  </w:num>
  <w:num w:numId="14">
    <w:abstractNumId w:val="1844735"/>
  </w:num>
  <w:num w:numId="15">
    <w:abstractNumId w:val="1844736"/>
  </w:num>
  <w:num w:numId="16">
    <w:abstractNumId w:val="1844737"/>
  </w:num>
  <w:num w:numId="17">
    <w:abstractNumId w:val="1844738"/>
  </w:num>
  <w:num w:numId="18">
    <w:abstractNumId w:val="1844739"/>
  </w:num>
  <w:num w:numId="19">
    <w:abstractNumId w:val="1844740"/>
  </w:num>
  <w:num w:numId="20">
    <w:abstractNumId w:val="1844741"/>
  </w:num>
  <w:num w:numId="21">
    <w:abstractNumId w:val="1844742"/>
  </w:num>
  <w:num w:numId="22">
    <w:abstractNumId w:val="1844743"/>
  </w:num>
  <w:num w:numId="23">
    <w:abstractNumId w:val="1844744"/>
  </w:num>
  <w:num w:numId="24">
    <w:abstractNumId w:val="1844745"/>
  </w:num>
  <w:num w:numId="25">
    <w:abstractNumId w:val="1844746"/>
  </w:num>
  <w:num w:numId="26">
    <w:abstractNumId w:val="1844747"/>
  </w:num>
  <w:num w:numId="27">
    <w:abstractNumId w:val="1844748"/>
  </w:num>
  <w:num w:numId="28">
    <w:abstractNumId w:val="1844749"/>
  </w:num>
  <w:num w:numId="29">
    <w:abstractNumId w:val="1844750"/>
  </w:num>
  <w:num w:numId="30">
    <w:abstractNumId w:val="1844751"/>
  </w:num>
  <w:num w:numId="31">
    <w:abstractNumId w:val="1844752"/>
  </w:num>
  <w:num w:numId="32">
    <w:abstractNumId w:val="1844753"/>
  </w:num>
  <w:num w:numId="33">
    <w:abstractNumId w:val="1844754"/>
  </w:num>
  <w:num w:numId="34">
    <w:abstractNumId w:val="1844755"/>
  </w:num>
  <w:num w:numId="35">
    <w:abstractNumId w:val="1844756"/>
  </w:num>
  <w:num w:numId="36">
    <w:abstractNumId w:val="1844757"/>
  </w:num>
  <w:num w:numId="37">
    <w:abstractNumId w:val="1844758"/>
  </w:num>
  <w:num w:numId="38">
    <w:abstractNumId w:val="1844759"/>
  </w:num>
  <w:num w:numId="39">
    <w:abstractNumId w:val="1844760"/>
  </w:num>
  <w:num w:numId="40">
    <w:abstractNumId w:val="1844761"/>
  </w:num>
  <w:num w:numId="41">
    <w:abstractNumId w:val="1844762"/>
  </w:num>
  <w:num w:numId="42">
    <w:abstractNumId w:val="1844763"/>
  </w:num>
  <w:num w:numId="43">
    <w:abstractNumId w:val="1844764"/>
  </w:num>
  <w:num w:numId="44">
    <w:abstractNumId w:val="1844765"/>
  </w:num>
  <w:num w:numId="45">
    <w:abstractNumId w:val="1844766"/>
  </w:num>
  <w:num w:numId="46">
    <w:abstractNumId w:val="1844767"/>
  </w:num>
  <w:num w:numId="47">
    <w:abstractNumId w:val="1844768"/>
  </w:num>
  <w:num w:numId="48">
    <w:abstractNumId w:val="1844769"/>
  </w:num>
  <w:num w:numId="49">
    <w:abstractNumId w:val="1844770"/>
  </w:num>
  <w:num w:numId="50">
    <w:abstractNumId w:val="1844771"/>
  </w:num>
  <w:num w:numId="51">
    <w:abstractNumId w:val="1844772"/>
  </w:num>
  <w:num w:numId="52">
    <w:abstractNumId w:val="1844773"/>
  </w:num>
  <w:num w:numId="53">
    <w:abstractNumId w:val="1844774"/>
  </w:num>
  <w:num w:numId="54">
    <w:abstractNumId w:val="1844775"/>
  </w:num>
  <w:num w:numId="55">
    <w:abstractNumId w:val="1844776"/>
  </w:num>
  <w:num w:numId="56">
    <w:abstractNumId w:val="1844777"/>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2026-05-30T05:27:00Z</dcterms:created>
  <dc:creator>Apache POI</dc:creator>
</cp:coreProperties>
</file>