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rFonts w:ascii="Arial" w:eastAsia="Microsoft YaHei" w:hAnsi="Arial"/>
          <w:b/>
          <w:bCs/>
          <w:sz w:val="32"/>
          <w:szCs w:val="32"/>
        </w:rPr>
        <w:t xml:space="preserve">任务9 案例1：美国云服务商批量敏感数据跨境传输至中国关联公司</w:t>
      </w:r>
    </w:p>
    <w:p>
      <w:pPr>
        <w:pStyle w:val="Heading2"/>
        <w:spacing w:after="100" w:before="200"/>
      </w:pPr>
      <w:r>
        <w:rPr>
          <w:rFonts w:ascii="Arial" w:eastAsia="Microsoft YaHei" w:hAnsi="Arial"/>
          <w:b/>
          <w:bCs/>
          <w:sz w:val="26"/>
          <w:szCs w:val="26"/>
        </w:rPr>
        <w:t xml:space="preserve">一、用户输入</w:t>
      </w:r>
    </w:p>
    <w:p>
      <w:pPr>
        <w:spacing w:after="60" w:before="60"/>
      </w:pPr>
      <w:r>
        <w:rPr>
          <w:rFonts w:ascii="Arial" w:eastAsia="Microsoft YaHei" w:hAnsi="Arial"/>
          <w:sz w:val="22"/>
          <w:szCs w:val="22"/>
        </w:rPr>
        <w:t xml:space="preserve">以下内容为模拟数规通系统用户填写的申报信息。</w:t>
      </w:r>
    </w:p>
    <w:p>
      <w:pPr>
        <w:spacing w:after="60" w:before="140"/>
      </w:pPr>
      <w:r>
        <w:rPr>
          <w:rFonts w:ascii="Arial" w:eastAsia="Microsoft YaHei" w:hAnsi="Arial"/>
          <w:b/>
          <w:bCs/>
          <w:sz w:val="23"/>
          <w:szCs w:val="23"/>
        </w:rPr>
        <w:t xml:space="preserve">1. 数据清单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数据项名称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精确地理位置数据</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内容描述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用户设备实时GPS坐标及时戳，采集精度约50米</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所属业务场景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用户画像分析、推荐算法优化、行为轨迹建模</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是否个人信息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是否敏感个人信息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是（精确地理位置，精度50米，远小于EO 14117定义的1,000米阈值）</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出境必要性说明</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传至中国关联公司用于算法模型训练与优化</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示例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37.7749°N, 122.4194°W, 2024-03-15 14:30:22</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数据项名称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面部生物识别特征模板</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内容描述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用户面部特征512维浮点向量模板，用于登录身份验证</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所属业务场景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用户账户登录身份验证</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是否个人信息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是否敏感个人信息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是（生物识别标识符，受涵盖数据类型）</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出境必要性说明</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传至中国关联公司用于算法优化与模型迭代</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示例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[0.0234, -0.1187, 0.4521, ... ]（512维向量）</w:t>
            </w:r>
          </w:p>
        </w:tc>
      </w:tr>
    </w:tbl>
    <w:p>
      <w:pPr>
        <w:spacing w:before="80"/>
      </w:pPr>
    </w:p>
    <w:p>
      <w:pPr>
        <w:spacing w:after="60" w:before="60"/>
      </w:pPr>
      <w:r>
        <w:rPr>
          <w:rFonts w:ascii="Arial" w:eastAsia="Microsoft YaHei" w:hAnsi="Arial"/>
          <w:b/>
          <w:bCs/>
          <w:sz w:val="22"/>
          <w:szCs w:val="22"/>
        </w:rPr>
        <w:t xml:space="preserve">用户补充说明：</w:t>
      </w:r>
    </w:p>
    <w:p>
      <w:pPr>
        <w:spacing w:after="60" w:before="60"/>
      </w:pPr>
      <w:r>
        <w:rPr>
          <w:rFonts w:ascii="Arial" w:eastAsia="Microsoft YaHei" w:hAnsi="Arial"/>
          <w:sz w:val="22"/>
          <w:szCs w:val="22"/>
        </w:rPr>
        <w:t xml:space="preserve">您好，我们是总部位于美国的云存储服务提供商，为全球企业客户提供云端数据存储与大数据分析服务。目前计划将一批用户数据传输至中国的关联公司，用于优化推荐算法和用户画像分析。涉及的数据主要包括上述精确地理位置信息和面部生物识别特征模板。涉及的美国用户规模大概有几万人（具体精确数量我们这边还没统计确认，反正是"几万"级别）。我们已经对所有传输数据实施了AES-256端到端加密，所以传输过程是绝对安全的——加密了就不存在什么合规风险了吧？我们觉得安全措施已经很到位了，应该不需要再做什么了吧？</w:t>
      </w:r>
    </w:p>
    <w:p>
      <w:pPr>
        <w:spacing w:after="60" w:before="140"/>
      </w:pPr>
      <w:r>
        <w:rPr>
          <w:rFonts w:ascii="Arial" w:eastAsia="Microsoft YaHei" w:hAnsi="Arial"/>
          <w:b/>
          <w:bCs/>
          <w:sz w:val="23"/>
          <w:szCs w:val="23"/>
        </w:rPr>
        <w:t xml:space="preserve">2. 实体清单</w:t>
      </w:r>
    </w:p>
    <w:p>
      <w:pPr>
        <w:spacing w:after="60" w:before="60"/>
      </w:pPr>
      <w:r>
        <w:rPr>
          <w:rFonts w:ascii="Arial" w:eastAsia="Microsoft YaHei" w:hAnsi="Arial"/>
          <w:b/>
          <w:bCs/>
          <w:sz w:val="22"/>
          <w:szCs w:val="22"/>
        </w:rPr>
        <w:t xml:space="preserve">（1）外部实体清单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实体全称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CloudTech Asia Ltd.（云智亚洲有限公司）</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注册国家/地区</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中国（上海）</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统一社会信用代码/税号</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91310115MA01XXXX9X</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股权结构说明</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由美国母公司 CloudTech Inc. 持股100%；主要营业地位于中国上海，研发与运维团队均在中国境内</w:t>
            </w:r>
          </w:p>
        </w:tc>
      </w:tr>
    </w:tbl>
    <w:p>
      <w:pPr>
        <w:spacing w:before="80"/>
      </w:pPr>
    </w:p>
    <w:p>
      <w:pPr>
        <w:spacing w:after="60" w:before="60"/>
      </w:pPr>
      <w:r>
        <w:rPr>
          <w:rFonts w:ascii="Arial" w:eastAsia="Microsoft YaHei" w:hAnsi="Arial"/>
          <w:b/>
          <w:bCs/>
          <w:sz w:val="22"/>
          <w:szCs w:val="22"/>
        </w:rPr>
        <w:t xml:space="preserve">（2）内部员工清单</w:t>
      </w:r>
    </w:p>
    <w:p>
      <w:pPr>
        <w:spacing w:after="40" w:before="40"/>
        <w:ind w:left="720" w:hanging="360"/>
      </w:pPr>
      <w:r>
        <w:rPr>
          <w:rFonts w:ascii="Arial" w:eastAsia="Microsoft YaHei" w:hAnsi="Arial"/>
          <w:sz w:val="22"/>
          <w:szCs w:val="22"/>
        </w:rPr>
        <w:t xml:space="preserve">• 张伟 | 国籍：中国 | 所属部门：算法研发部 | 岗位：算法工程师（对接数据接收方）</w:t>
      </w:r>
    </w:p>
    <w:p>
      <w:pPr>
        <w:spacing w:after="40" w:before="40"/>
        <w:ind w:left="720" w:hanging="360"/>
      </w:pPr>
      <w:r>
        <w:rPr>
          <w:rFonts w:ascii="Arial" w:eastAsia="Microsoft YaHei" w:hAnsi="Arial"/>
          <w:sz w:val="22"/>
          <w:szCs w:val="22"/>
        </w:rPr>
        <w:t xml:space="preserve">• 李静 | 国籍：美国 | 所属部门：数据合规部 | 岗位：合规专员</w:t>
      </w:r>
    </w:p>
    <w:p>
      <w:pPr>
        <w:spacing w:after="40" w:before="40"/>
        <w:ind w:left="720" w:hanging="360"/>
      </w:pPr>
      <w:r>
        <w:rPr>
          <w:rFonts w:ascii="Arial" w:eastAsia="Microsoft YaHei" w:hAnsi="Arial"/>
          <w:sz w:val="22"/>
          <w:szCs w:val="22"/>
        </w:rPr>
        <w:t xml:space="preserve">• Michael Chen | 国籍：美国 | 所属部门：技术运维部 | 岗位：数据架构师</w:t>
      </w:r>
    </w:p>
    <w:p>
      <w:pPr>
        <w:pStyle w:val="Heading2"/>
        <w:spacing w:after="100" w:before="200"/>
      </w:pPr>
      <w:r>
        <w:rPr>
          <w:rFonts w:ascii="Arial" w:eastAsia="Microsoft YaHei" w:hAnsi="Arial"/>
          <w:b/>
          <w:bCs/>
          <w:sz w:val="26"/>
          <w:szCs w:val="26"/>
        </w:rPr>
        <w:t xml:space="preserve">二、标准答案（即系统输出）</w:t>
      </w:r>
    </w:p>
    <w:p>
      <w:pPr>
        <w:spacing w:after="60" w:before="140"/>
      </w:pPr>
      <w:r>
        <w:rPr>
          <w:rFonts w:ascii="Arial" w:eastAsia="Microsoft YaHei" w:hAnsi="Arial"/>
          <w:b/>
          <w:bCs/>
          <w:sz w:val="23"/>
          <w:szCs w:val="23"/>
        </w:rPr>
        <w:t xml:space="preserve">（一）总体结论与传输可行性</w:t>
      </w:r>
    </w:p>
    <w:p>
      <w:pPr>
        <w:spacing w:after="60" w:before="60"/>
      </w:pPr>
      <w:r>
        <w:rPr>
          <w:rFonts w:ascii="Arial" w:eastAsia="Microsoft YaHei" w:hAnsi="Arial"/>
          <w:b/>
          <w:bCs/>
          <w:sz w:val="22"/>
          <w:szCs w:val="22"/>
        </w:rPr>
        <w:t xml:space="preserve">传输可行性判定：红灯（禁止交易 / Prohibited Transaction）</w:t>
      </w:r>
    </w:p>
    <w:p>
      <w:pPr>
        <w:spacing w:after="60" w:before="60"/>
      </w:pPr>
      <w:r>
        <w:rPr>
          <w:rFonts w:ascii="Arial" w:eastAsia="Microsoft YaHei" w:hAnsi="Arial"/>
          <w:sz w:val="22"/>
          <w:szCs w:val="22"/>
        </w:rPr>
        <w:t xml:space="preserve">该交易极大概率被行政令14117（Executive Order 14117）及美国司法部（DOJ）最终规则（28 CFR Part 202）明确禁止。传输涉及批量敏感个人数据（精确地理位置和生物识别标识符）至中国关联公司，且数据量远超批量阈值。AES-256加密是必要的安全措施，但并非充分条件，不能单独使被禁止的交易合法化。</w:t>
      </w:r>
    </w:p>
    <w:p>
      <w:pPr>
        <w:spacing w:after="60" w:before="60"/>
      </w:pPr>
      <w:r>
        <w:rPr>
          <w:rFonts w:ascii="Arial" w:eastAsia="Microsoft YaHei" w:hAnsi="Arial"/>
          <w:sz w:val="22"/>
          <w:szCs w:val="22"/>
        </w:rPr>
        <w:t xml:space="preserve">依据法规：Executive Order 14117（2024年2月28日签署）；DOJ Final Rule, 28 CFR Part 202（2024年10月21日发布，2025年4月8日生效）。</w:t>
      </w:r>
    </w:p>
    <w:p>
      <w:pPr>
        <w:spacing w:after="60" w:before="140"/>
      </w:pPr>
      <w:r>
        <w:rPr>
          <w:rFonts w:ascii="Arial" w:eastAsia="Microsoft YaHei" w:hAnsi="Arial"/>
          <w:b/>
          <w:bCs/>
          <w:sz w:val="23"/>
          <w:szCs w:val="23"/>
        </w:rPr>
        <w:t xml:space="preserve">（二）风险详情与分析</w:t>
      </w:r>
    </w:p>
    <w:p>
      <w:pPr>
        <w:spacing w:after="60" w:before="60"/>
      </w:pPr>
      <w:r>
        <w:rPr>
          <w:rFonts w:ascii="Arial" w:eastAsia="Microsoft YaHei" w:hAnsi="Arial"/>
          <w:b/>
          <w:bCs/>
          <w:sz w:val="22"/>
          <w:szCs w:val="22"/>
        </w:rPr>
        <w:t xml:space="preserve">1. 高风险实体清单</w:t>
      </w:r>
    </w:p>
    <w:p>
      <w:pPr>
        <w:spacing w:after="40" w:before="40"/>
        <w:ind w:left="720" w:hanging="360"/>
      </w:pPr>
      <w:r>
        <w:rPr>
          <w:rFonts w:ascii="Arial" w:eastAsia="Microsoft YaHei" w:hAnsi="Arial"/>
          <w:sz w:val="22"/>
          <w:szCs w:val="22"/>
        </w:rPr>
        <w:t xml:space="preserve">• 接收方 CloudTech Asia Ltd.：主要营业地位于中国（受关注国家），构成28 CFR § 202.201项下的"受涵盖人员"（Covered Person）。中国为六受关注国家之一，主要营业地在中国的实体无论股权归属如何，均构成受涵盖人员。</w:t>
      </w:r>
    </w:p>
    <w:p>
      <w:pPr>
        <w:spacing w:after="40" w:before="40"/>
        <w:ind w:left="720" w:hanging="360"/>
      </w:pPr>
      <w:r>
        <w:rPr>
          <w:rFonts w:ascii="Arial" w:eastAsia="Microsoft YaHei" w:hAnsi="Arial"/>
          <w:sz w:val="22"/>
          <w:szCs w:val="22"/>
        </w:rPr>
        <w:t xml:space="preserve">• 美国母公司 CloudTech Inc.：作为数据发送方，若其自身股权结构涉及受关注国家实体持股≥50%，亦可能构成受涵盖人员（本案例中需进一步确认母公司股权结构）。</w:t>
      </w:r>
    </w:p>
    <w:p>
      <w:pPr>
        <w:spacing w:after="60" w:before="60"/>
      </w:pPr>
      <w:r>
        <w:rPr>
          <w:rFonts w:ascii="Arial" w:eastAsia="Microsoft YaHei" w:hAnsi="Arial"/>
          <w:b/>
          <w:bCs/>
          <w:sz w:val="22"/>
          <w:szCs w:val="22"/>
        </w:rPr>
        <w:t xml:space="preserve">2. 敏感数据分布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受涵盖数据类别</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精确地理位置数据（精度50米）</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 — 28 CFR § 202.201 "精确地理位置"（≤1,000米）</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面部生物识别特征模板</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 — 28 CFR § 202.201 "生物识别标识符"</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批量阈值核查 — 精确地理位置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约5万用户 &gt;&gt; 10,000人阈值（28 CFR § 202.501）→ 构成"批量"</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批量阈值核查 — 生物识别标识符</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约5万用户 &gt;&gt; 1,000人阈值（28 CFR § 202.501）→ 构成"批量"</w:t>
            </w:r>
          </w:p>
        </w:tc>
      </w:tr>
    </w:tbl>
    <w:p>
      <w:pPr>
        <w:spacing w:after="60" w:before="60"/>
      </w:pPr>
      <w:r>
        <w:rPr>
          <w:rFonts w:ascii="Arial" w:eastAsia="Microsoft YaHei" w:hAnsi="Arial"/>
          <w:b/>
          <w:bCs/>
          <w:sz w:val="22"/>
          <w:szCs w:val="22"/>
        </w:rPr>
        <w:t xml:space="preserve">3. 风险匹配矩阵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风险维度</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判定</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受涵盖数据类型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命中</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批量阈值</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命中（远超）</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受涵盖人员</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命中</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交易类型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禁止/受限</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豁免适用性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不适用</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加密豁免效力</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无效</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综合风险等级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极高（红灯）</w:t>
            </w:r>
          </w:p>
        </w:tc>
      </w:tr>
    </w:tbl>
    <w:p>
      <w:pPr>
        <w:spacing w:after="60" w:before="140"/>
      </w:pPr>
      <w:r>
        <w:rPr>
          <w:rFonts w:ascii="Arial" w:eastAsia="Microsoft YaHei" w:hAnsi="Arial"/>
          <w:b/>
          <w:bCs/>
          <w:sz w:val="23"/>
          <w:szCs w:val="23"/>
        </w:rPr>
        <w:t xml:space="preserve">（三）合规措施建议与行动清单</w:t>
      </w:r>
    </w:p>
    <w:p>
      <w:pPr>
        <w:spacing w:after="40" w:before="40"/>
        <w:ind w:left="720" w:hanging="360"/>
      </w:pPr>
      <w:r>
        <w:rPr>
          <w:rFonts w:ascii="Arial" w:eastAsia="Microsoft YaHei" w:hAnsi="Arial"/>
          <w:sz w:val="22"/>
          <w:szCs w:val="22"/>
        </w:rPr>
        <w:t xml:space="preserve">1. 立即暂停数据传输计划，在完成合规评估前不得执行任何数据跨境传输（即刻生效）。</w:t>
      </w:r>
    </w:p>
    <w:p>
      <w:pPr>
        <w:spacing w:after="40" w:before="40"/>
        <w:ind w:left="720" w:hanging="360"/>
      </w:pPr>
      <w:r>
        <w:rPr>
          <w:rFonts w:ascii="Arial" w:eastAsia="Microsoft YaHei" w:hAnsi="Arial"/>
          <w:sz w:val="22"/>
          <w:szCs w:val="22"/>
        </w:rPr>
        <w:t xml:space="preserve">2. 精确统计涉及的数据主体人数，确认是否确实超过批量阈值（当前"几万人"的表述不够精确，须以实际去重后的美国数据主体人数为准）。</w:t>
      </w:r>
    </w:p>
    <w:p>
      <w:pPr>
        <w:spacing w:after="40" w:before="40"/>
        <w:ind w:left="720" w:hanging="360"/>
      </w:pPr>
      <w:r>
        <w:rPr>
          <w:rFonts w:ascii="Arial" w:eastAsia="Microsoft YaHei" w:hAnsi="Arial"/>
          <w:sz w:val="22"/>
          <w:szCs w:val="22"/>
        </w:rPr>
        <w:t xml:space="preserve">3. 聘请美国数据合规律师对交易进行EO 14117合规评估，包括数据类型认定、批量阈值计算、受涵盖人员股权穿透分析（传输前必须完成）。</w:t>
      </w:r>
    </w:p>
    <w:p>
      <w:pPr>
        <w:spacing w:after="40" w:before="40"/>
        <w:ind w:left="720" w:hanging="360"/>
      </w:pPr>
      <w:r>
        <w:rPr>
          <w:rFonts w:ascii="Arial" w:eastAsia="Microsoft YaHei" w:hAnsi="Arial"/>
          <w:sz w:val="22"/>
          <w:szCs w:val="22"/>
        </w:rPr>
        <w:t xml:space="preserve">4. 向DOJ提交咨询意见请求（advisory opinion request）或申请特定交易许可（license），说明交易目的、数据类型、安全措施等（时限：评估完成后尽快提交）。</w:t>
      </w:r>
    </w:p>
    <w:p>
      <w:pPr>
        <w:spacing w:after="40" w:before="40"/>
        <w:ind w:left="720" w:hanging="360"/>
      </w:pPr>
      <w:r>
        <w:rPr>
          <w:rFonts w:ascii="Arial" w:eastAsia="Microsoft YaHei" w:hAnsi="Arial"/>
          <w:sz w:val="22"/>
          <w:szCs w:val="22"/>
        </w:rPr>
        <w:t xml:space="preserve">5. 评估替代方案：在美国境内完成数据分析，或使用经DOJ认可的隐私增强技术（如差分隐私、联邦学习）使数据脱敏至不可识别程度。</w:t>
      </w:r>
    </w:p>
    <w:p>
      <w:pPr>
        <w:spacing w:after="40" w:before="40"/>
        <w:ind w:left="720" w:hanging="360"/>
      </w:pPr>
      <w:r>
        <w:rPr>
          <w:rFonts w:ascii="Arial" w:eastAsia="Microsoft YaHei" w:hAnsi="Arial"/>
          <w:sz w:val="22"/>
          <w:szCs w:val="22"/>
        </w:rPr>
        <w:t xml:space="preserve">6. 如确需传输且获DOJ许可，须满足全部安全要求：包括数据加密（符合FIPS 140-3标准）、密钥管理（密钥不得提供给受涵盖人员）、数据掩码、访问控制等，并提交合规报告。</w:t>
      </w:r>
    </w:p>
    <w:p>
      <w:pPr>
        <w:spacing w:after="40" w:before="40"/>
        <w:ind w:left="720" w:hanging="360"/>
      </w:pPr>
      <w:r>
        <w:rPr>
          <w:rFonts w:ascii="Arial" w:eastAsia="Microsoft YaHei" w:hAnsi="Arial"/>
          <w:sz w:val="22"/>
          <w:szCs w:val="22"/>
        </w:rPr>
        <w:t xml:space="preserve">7. 建立内部合规审计机制，持续监控数据流向和接收方使用情况，每季度进行一次合规审查。</w:t>
      </w:r>
    </w:p>
    <w:p>
      <w:pPr>
        <w:pStyle w:val="Heading2"/>
        <w:spacing w:after="100" w:before="200"/>
      </w:pPr>
      <w:r>
        <w:rPr>
          <w:rFonts w:ascii="Arial" w:eastAsia="Microsoft YaHei" w:hAnsi="Arial"/>
          <w:b/>
          <w:bCs/>
          <w:sz w:val="26"/>
          <w:szCs w:val="26"/>
        </w:rPr>
        <w:t xml:space="preserve">三、备注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噪声类型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缺失（具体数据量未确认）+ 误导（加密即安全）</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难度等级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困难</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覆盖场景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批量阈值确认与加密充分性分析</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适用法域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美国（EO 14117）</w:t>
            </w:r>
          </w:p>
        </w:tc>
      </w:tr>
    </w:tbl>
    <w:sectPr>
      <w:head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2026-07-30T16:03:25.032Z</dcterms:created>
  <dcterms:modified xsi:type="dcterms:W3CDTF">2026-07-30T16:03:25.044Z</dcterms:modified>
</cp:coreProperties>
</file>

<file path=docProps/custom.xml><?xml version="1.0" encoding="utf-8"?>
<Properties xmlns="http://schemas.openxmlformats.org/officeDocument/2006/custom-properties" xmlns:vt="http://schemas.openxmlformats.org/officeDocument/2006/docPropsVTypes"/>
</file>