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HealthData Alliance — BCR 合规审查报告草案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报告编号</w:t>
            </w:r>
          </w:p>
        </w:tc>
        <w:tc>
          <w:tcPr>
            <w:tcW w:type="dxa" w:w="4150"/>
          </w:tcPr>
          <w:p>
            <w:r>
              <w:t>BCR-2026-002</w:t>
            </w:r>
          </w:p>
        </w:tc>
      </w:tr>
      <w:tr>
        <w:tc>
          <w:tcPr>
            <w:tcW w:type="dxa" w:w="4150"/>
          </w:tcPr>
          <w:p>
            <w:r>
              <w:t>公司名称</w:t>
            </w:r>
          </w:p>
        </w:tc>
        <w:tc>
          <w:tcPr>
            <w:tcW w:type="dxa" w:w="4150"/>
          </w:tcPr>
          <w:p>
            <w:r>
              <w:t>HealthData Alliance</w:t>
            </w:r>
          </w:p>
        </w:tc>
      </w:tr>
      <w:tr>
        <w:tc>
          <w:tcPr>
            <w:tcW w:type="dxa" w:w="4150"/>
          </w:tcPr>
          <w:p>
            <w:r>
              <w:t>法域</w:t>
            </w:r>
          </w:p>
        </w:tc>
        <w:tc>
          <w:tcPr>
            <w:tcW w:type="dxa" w:w="4150"/>
          </w:tcPr>
          <w:p>
            <w:r>
              <w:t>EU</w:t>
            </w:r>
          </w:p>
        </w:tc>
      </w:tr>
      <w:tr>
        <w:tc>
          <w:tcPr>
            <w:tcW w:type="dxa" w:w="4150"/>
          </w:tcPr>
          <w:p>
            <w:r>
              <w:t>语言</w:t>
            </w:r>
          </w:p>
        </w:tc>
        <w:tc>
          <w:tcPr>
            <w:tcW w:type="dxa" w:w="4150"/>
          </w:tcPr>
          <w:p>
            <w:r>
              <w:t>zh-CN</w:t>
            </w:r>
          </w:p>
        </w:tc>
      </w:tr>
      <w:tr>
        <w:tc>
          <w:tcPr>
            <w:tcW w:type="dxa" w:w="4150"/>
          </w:tcPr>
          <w:p>
            <w:r>
              <w:t>报告日期</w:t>
            </w:r>
          </w:p>
        </w:tc>
        <w:tc>
          <w:tcPr>
            <w:tcW w:type="dxa" w:w="4150"/>
          </w:tcPr>
          <w:p>
            <w:r>
              <w:t>2026-08-10</w:t>
            </w:r>
          </w:p>
        </w:tc>
      </w:tr>
    </w:tbl>
    <w:p>
      <w:pPr>
        <w:pStyle w:val="Heading1"/>
        <w:keepNext/>
      </w:pPr>
      <w:r>
        <w:t>1 风险与 finding 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</w:tcPr>
          <w:p>
            <w:r>
              <w:t>编号</w:t>
            </w:r>
          </w:p>
        </w:tc>
        <w:tc>
          <w:tcPr>
            <w:tcW w:type="dxa" w:w="2075"/>
          </w:tcPr>
          <w:p>
            <w:r>
              <w:t>风险等级</w:t>
            </w:r>
          </w:p>
        </w:tc>
        <w:tc>
          <w:tcPr>
            <w:tcW w:type="dxa" w:w="2075"/>
          </w:tcPr>
          <w:p>
            <w:r>
              <w:t>标题</w:t>
            </w:r>
          </w:p>
        </w:tc>
        <w:tc>
          <w:tcPr>
            <w:tcW w:type="dxa" w:w="2075"/>
          </w:tcPr>
          <w:p>
            <w:r>
              <w:t>状态</w:t>
            </w:r>
          </w:p>
        </w:tc>
      </w:tr>
      <w:tr>
        <w:tc>
          <w:tcPr>
            <w:tcW w:type="dxa" w:w="2075"/>
          </w:tcPr>
          <w:p>
            <w:r>
              <w:t>BCR-H-01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Binding nature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BCR-H-02</w:t>
            </w:r>
          </w:p>
        </w:tc>
        <w:tc>
          <w:tcPr>
            <w:tcW w:type="dxa" w:w="2075"/>
          </w:tcPr>
          <w:p>
            <w:r>
              <w:t>LOW</w:t>
            </w:r>
          </w:p>
        </w:tc>
        <w:tc>
          <w:tcPr>
            <w:tcW w:type="dxa" w:w="2075"/>
          </w:tcPr>
          <w:p>
            <w:r>
              <w:t>Third-party beneficiary rights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BCR-H-03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EU liable entity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BCR-H-04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Onward transfer safeguards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BCR-H-05</w:t>
            </w:r>
          </w:p>
        </w:tc>
        <w:tc>
          <w:tcPr>
            <w:tcW w:type="dxa" w:w="2075"/>
          </w:tcPr>
          <w:p>
            <w:r>
              <w:t>LOW</w:t>
            </w:r>
          </w:p>
        </w:tc>
        <w:tc>
          <w:tcPr>
            <w:tcW w:type="dxa" w:w="2075"/>
          </w:tcPr>
          <w:p>
            <w:r>
              <w:t>Training and audit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BCR-H-06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Supervisory cooperation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BCR-H-07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Data protection principles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BCR-H-08</w:t>
            </w:r>
          </w:p>
        </w:tc>
        <w:tc>
          <w:tcPr>
            <w:tcW w:type="dxa" w:w="2075"/>
          </w:tcPr>
          <w:p>
            <w:r>
              <w:t>LOW</w:t>
            </w:r>
          </w:p>
        </w:tc>
        <w:tc>
          <w:tcPr>
            <w:tcW w:type="dxa" w:w="2075"/>
          </w:tcPr>
          <w:p>
            <w:r>
              <w:t>Third-country law assessment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BCR-H-09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Government access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BCR-H-10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Update mechanism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BCR-H-11</w:t>
            </w:r>
          </w:p>
        </w:tc>
        <w:tc>
          <w:tcPr>
            <w:tcW w:type="dxa" w:w="2075"/>
          </w:tcPr>
          <w:p>
            <w:r>
              <w:t>LOW</w:t>
            </w:r>
          </w:p>
        </w:tc>
        <w:tc>
          <w:tcPr>
            <w:tcW w:type="dxa" w:w="2075"/>
          </w:tcPr>
          <w:p>
            <w:r>
              <w:t>Member list maintenance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BCR-H-12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Terminology clarity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BCR-H-13</w:t>
            </w:r>
          </w:p>
        </w:tc>
        <w:tc>
          <w:tcPr>
            <w:tcW w:type="dxa" w:w="2075"/>
          </w:tcPr>
          <w:p>
            <w:r>
              <w:t>MEDIUM</w:t>
            </w:r>
          </w:p>
        </w:tc>
        <w:tc>
          <w:tcPr>
            <w:tcW w:type="dxa" w:w="2075"/>
          </w:tcPr>
          <w:p>
            <w:r>
              <w:t>Complaint handling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BCR-H-14</w:t>
            </w:r>
          </w:p>
        </w:tc>
        <w:tc>
          <w:tcPr>
            <w:tcW w:type="dxa" w:w="2075"/>
          </w:tcPr>
          <w:p>
            <w:r>
              <w:t>LOW</w:t>
            </w:r>
          </w:p>
        </w:tc>
        <w:tc>
          <w:tcPr>
            <w:tcW w:type="dxa" w:w="2075"/>
          </w:tcPr>
          <w:p>
            <w:r>
              <w:t>Enforcement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  <w:tr>
        <w:tc>
          <w:tcPr>
            <w:tcW w:type="dxa" w:w="2075"/>
          </w:tcPr>
          <w:p>
            <w:r>
              <w:t>BCR-H-15</w:t>
            </w:r>
          </w:p>
        </w:tc>
        <w:tc>
          <w:tcPr>
            <w:tcW w:type="dxa" w:w="2075"/>
          </w:tcPr>
          <w:p>
            <w:r>
              <w:t>HIGH</w:t>
            </w:r>
          </w:p>
        </w:tc>
        <w:tc>
          <w:tcPr>
            <w:tcW w:type="dxa" w:w="2075"/>
          </w:tcPr>
          <w:p>
            <w:r>
              <w:t>Breach notification</w:t>
            </w:r>
          </w:p>
        </w:tc>
        <w:tc>
          <w:tcPr>
            <w:tcW w:type="dxa" w:w="2075"/>
          </w:tcPr>
          <w:p>
            <w:r>
              <w:t>OPEN</w:t>
            </w:r>
          </w:p>
        </w:tc>
      </w:tr>
    </w:tbl>
    <w:p>
      <w:pPr>
        <w:pStyle w:val="Heading1"/>
        <w:keepNext/>
      </w:pPr>
      <w:r>
        <w:t>2 详细 finding</w:t>
      </w:r>
    </w:p>
    <w:p>
      <w:pPr>
        <w:pStyle w:val="Heading2"/>
        <w:keepNext/>
      </w:pPr>
      <w:r>
        <w:t>BCR-H-01 Binding nature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BCR-H-02 Third-party beneficiary rights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2。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BCR-H-03 EU liable entity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3。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BCR-H-04 Onward transfer safeguards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4。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BCR-H-05 Training and audit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5。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BCR-H-06 Supervisory cooperation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6。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BCR-H-07 Data protection principles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7。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BCR-H-08 Third-country law assessment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8。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BCR-H-09 Government access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9。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BCR-H-10 Update mechanism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10。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BCR-H-11 Member list maintenance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11。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BCR-H-12 Terminology clarity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12。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BCR-H-13 Complaint handling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13。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BCR-H-14 Enforcement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14。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2"/>
        <w:keepNext/>
      </w:pPr>
      <w:r>
        <w:t>BCR-H-15 Breach notification</w:t>
      </w:r>
    </w:p>
    <w:p>
      <w:pPr>
        <w:pStyle w:val="FieldLabel"/>
        <w:keepNext/>
      </w:pPr>
      <w:r>
        <w:rPr>
          <w:b/>
        </w:rPr>
        <w:t>现状</w:t>
      </w:r>
    </w:p>
    <w:p>
      <w:r>
        <w:t>健康数据合规缺陷示例陈述 15。</w:t>
      </w:r>
    </w:p>
    <w:p>
      <w:pPr>
        <w:pStyle w:val="FieldLabel"/>
        <w:keepNext/>
      </w:pPr>
      <w:r>
        <w:rPr>
          <w:b/>
        </w:rPr>
        <w:t>法规依据</w:t>
      </w:r>
    </w:p>
    <w:p>
      <w:r>
        <w:t>GDPR Article 47[1]</w:t>
      </w:r>
    </w:p>
    <w:p>
      <w:pPr>
        <w:pStyle w:val="FieldLabel"/>
        <w:keepNext/>
      </w:pPr>
      <w:r>
        <w:rPr>
          <w:b/>
        </w:rPr>
        <w:t>整改建议</w:t>
      </w:r>
    </w:p>
    <w:p>
      <w:r>
        <w:t>补齐合规要求。</w:t>
      </w:r>
    </w:p>
    <w:p>
      <w:pPr>
        <w:pStyle w:val="Heading1"/>
        <w:keepNext/>
      </w:pPr>
      <w:r>
        <w:t>3 审查概览</w:t>
      </w:r>
    </w:p>
    <w:p>
      <w:r>
        <w:t>本报告基于约束性公司规则（BCR）合规审查生成，覆盖集团内部约束机制、第三方受益权、欧盟责任实体与第三国传输等核心要求。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项目</w:t>
            </w:r>
          </w:p>
        </w:tc>
        <w:tc>
          <w:tcPr>
            <w:tcW w:type="dxa" w:w="4150"/>
          </w:tcPr>
          <w:p>
            <w:r>
              <w:t>内容</w:t>
            </w:r>
          </w:p>
        </w:tc>
      </w:tr>
      <w:tr>
        <w:tc>
          <w:tcPr>
            <w:tcW w:type="dxa" w:w="4150"/>
          </w:tcPr>
          <w:p>
            <w:r>
              <w:t>审查范围</w:t>
            </w:r>
          </w:p>
        </w:tc>
        <w:tc>
          <w:tcPr>
            <w:tcW w:type="dxa" w:w="4150"/>
          </w:tcPr>
          <w:p>
            <w:r>
              <w:t>BCR-C 控制者场景</w:t>
            </w:r>
          </w:p>
        </w:tc>
      </w:tr>
      <w:tr>
        <w:tc>
          <w:tcPr>
            <w:tcW w:type="dxa" w:w="4150"/>
          </w:tcPr>
          <w:p>
            <w:r>
              <w:t>审查深度</w:t>
            </w:r>
          </w:p>
        </w:tc>
        <w:tc>
          <w:tcPr>
            <w:tcW w:type="dxa" w:w="4150"/>
          </w:tcPr>
          <w:p>
            <w:r>
              <w:t>深度审查</w:t>
            </w:r>
          </w:p>
        </w:tc>
      </w:tr>
      <w:tr>
        <w:tc>
          <w:tcPr>
            <w:tcW w:type="dxa" w:w="4150"/>
          </w:tcPr>
          <w:p>
            <w:r>
              <w:t>风险等级</w:t>
            </w:r>
          </w:p>
        </w:tc>
        <w:tc>
          <w:tcPr>
            <w:tcW w:type="dxa" w:w="4150"/>
          </w:tcPr>
          <w:p>
            <w:r>
              <w:t>高风险</w:t>
            </w:r>
          </w:p>
        </w:tc>
      </w:tr>
    </w:tbl>
    <w:p>
      <w:pPr>
        <w:pStyle w:val="ListNumber"/>
        <w:ind w:left="240"/>
      </w:pPr>
      <w:r>
        <w:t>集团内部约束力</w:t>
      </w:r>
    </w:p>
    <w:p>
      <w:pPr>
        <w:pStyle w:val="ListNumber"/>
        <w:ind w:left="240"/>
      </w:pPr>
      <w:r>
        <w:t>数据主体第三方受益权</w:t>
      </w:r>
    </w:p>
    <w:p>
      <w:pPr>
        <w:pStyle w:val="ListNumber"/>
        <w:ind w:left="240"/>
      </w:pPr>
      <w:r>
        <w:t>欧盟责任实体指定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tblHeader w:val="true"/>
        </w:trPr>
        <w:tc>
          <w:tcPr>
            <w:tcW w:type="dxa" w:w="4150"/>
          </w:tcPr>
          <w:p>
            <w:r>
              <w:t>检查项</w:t>
            </w:r>
          </w:p>
        </w:tc>
        <w:tc>
          <w:tcPr>
            <w:tcW w:type="dxa" w:w="4150"/>
          </w:tcPr>
          <w:p>
            <w:r>
              <w:t>结论</w:t>
            </w:r>
          </w:p>
        </w:tc>
      </w:tr>
      <w:tr>
        <w:tc>
          <w:tcPr>
            <w:tcW w:type="dxa" w:w="4150"/>
          </w:tcPr>
          <w:p>
            <w:r>
              <w:t>约束力</w:t>
            </w:r>
          </w:p>
        </w:tc>
        <w:tc>
          <w:tcPr>
            <w:tcW w:type="dxa" w:w="4150"/>
          </w:tcPr>
          <w:p>
            <w:r>
              <w:t>需整改</w:t>
            </w:r>
          </w:p>
        </w:tc>
      </w:tr>
      <w:tr>
        <w:tc>
          <w:tcPr>
            <w:tcW w:type="dxa" w:w="4150"/>
          </w:tcPr>
          <w:p>
            <w:r>
              <w:t>第三方受益权</w:t>
            </w:r>
          </w:p>
        </w:tc>
        <w:tc>
          <w:tcPr>
            <w:tcW w:type="dxa" w:w="4150"/>
          </w:tcPr>
          <w:p>
            <w:r>
              <w:t>需整改</w:t>
            </w:r>
          </w:p>
        </w:tc>
      </w:tr>
      <w:tr>
        <w:tc>
          <w:tcPr>
            <w:tcW w:type="dxa" w:w="4150"/>
          </w:tcPr>
          <w:p>
            <w:r>
              <w:t>欧盟责任实体</w:t>
            </w:r>
          </w:p>
        </w:tc>
        <w:tc>
          <w:tcPr>
            <w:tcW w:type="dxa" w:w="4150"/>
          </w:tcPr>
          <w:p>
            <w:r>
              <w:t>已覆盖</w:t>
            </w:r>
          </w:p>
        </w:tc>
      </w:tr>
    </w:tbl>
    <w:p>
      <w:pPr>
        <w:pStyle w:val="Warning"/>
        <w:keepNext/>
      </w:pPr>
      <w:r>
        <w:t>错误：本报告为草案，整改完成前不得对外发布。</w:t>
      </w:r>
    </w:p>
    <w:p>
      <w:pPr>
        <w:pStyle w:val="Heading1"/>
        <w:keepNext/>
      </w:pPr>
      <w:r>
        <w:t>4 建议条款</w:t>
      </w:r>
    </w:p>
    <w:p>
      <w:r>
        <w:t>建议条款（多级编号）</w:t>
      </w:r>
    </w:p>
    <w:p>
      <w:pPr>
        <w:numPr>
          <w:ilvl w:val="0"/>
          <w:numId w:val="10"/>
        </w:numPr>
      </w:pPr>
      <w:r>
        <w:t>第一条</w:t>
      </w:r>
    </w:p>
    <w:p>
      <w:pPr>
        <w:numPr>
          <w:ilvl w:val="1"/>
          <w:numId w:val="10"/>
        </w:numPr>
      </w:pPr>
      <w:r>
        <w:t>第一项</w:t>
      </w:r>
    </w:p>
    <w:p>
      <w:pPr>
        <w:numPr>
          <w:ilvl w:val="1"/>
          <w:numId w:val="10"/>
        </w:numPr>
      </w:pPr>
      <w:r>
        <w:t>第二项</w:t>
      </w:r>
    </w:p>
    <w:p>
      <w:pPr>
        <w:numPr>
          <w:ilvl w:val="2"/>
          <w:numId w:val="10"/>
        </w:numPr>
      </w:pPr>
      <w:r>
        <w:t>第 1 目</w:t>
      </w:r>
    </w:p>
    <w:p>
      <w:pPr>
        <w:numPr>
          <w:ilvl w:val="2"/>
          <w:numId w:val="10"/>
        </w:numPr>
      </w:pPr>
      <w:r>
        <w:t>第 2 目</w:t>
      </w:r>
    </w:p>
    <w:p>
      <w:pPr>
        <w:numPr>
          <w:ilvl w:val="0"/>
          <w:numId w:val="10"/>
        </w:numPr>
      </w:pPr>
      <w:r>
        <w:t>第二条</w:t>
      </w:r>
    </w:p>
    <w:p>
      <w:pPr>
        <w:pStyle w:val="Heading1"/>
        <w:keepNext/>
      </w:pPr>
      <w:r>
        <w:t>9 法规与引用</w:t>
      </w:r>
    </w:p>
    <w:p>
      <w:pPr>
        <w:pStyle w:val="CitationNote"/>
      </w:pPr>
      <w:r>
        <w:t>1. GDPR (EU) 2016/679 — Article 47(1)</w:t>
      </w:r>
    </w:p>
    <w:p>
      <w:pPr>
        <w:pStyle w:val="Heading1"/>
        <w:keepNext/>
      </w:pPr>
      <w:r>
        <w:t>10 分页与提示</w:t>
      </w:r>
    </w:p>
    <w:p>
      <w:r>
        <w:t>集团内部约束机制必须具有法律约束力。[1]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BCR 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ationNote">
    <w:name w:val="CitationNote"/>
  </w:style>
  <w:style w:type="paragraph" w:customStyle="1" w:styleId="FieldLabel">
    <w:name w:val="FieldLabel"/>
  </w:style>
  <w:style w:type="paragraph" w:customStyle="1" w:styleId="Warning">
    <w:name w:val="Warn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