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DPIA 草案</w:t>
      </w:r>
    </w:p>
    <w:p/>
    <w:p>
      <w:r>
        <w:t>版本：Draft v1.0</w:t>
      </w:r>
    </w:p>
    <w:p/>
    <w:p>
      <w:pPr>
        <w:pStyle w:val="Heading2"/>
      </w:pPr>
      <w:r>
        <w:t>1. Processing Description</w:t>
      </w:r>
    </w:p>
    <w:p>
      <w:r/>
      <w:r>
        <w:t>（数据处理活动描述：LLM未配置，此处为占位内容）</w:t>
      </w:r>
    </w:p>
    <w:p/>
    <w:p>
      <w:pPr>
        <w:pStyle w:val="Heading2"/>
      </w:pPr>
      <w:r>
        <w:t>2. Purpose and Necessity</w:t>
      </w:r>
    </w:p>
    <w:p>
      <w:r/>
      <w:r>
        <w:t>（目的必要性与合法性评估：LLM未配置，此处为占位内容）</w:t>
      </w:r>
    </w:p>
    <w:p/>
    <w:p>
      <w:pPr>
        <w:pStyle w:val="Heading2"/>
      </w:pPr>
      <w:r>
        <w:t>3. Lawful Basis</w:t>
      </w:r>
    </w:p>
    <w:p>
      <w:r/>
      <w:r>
        <w:t>合法利益+合同履行</w:t>
      </w:r>
    </w:p>
    <w:p/>
    <w:p>
      <w:pPr>
        <w:pStyle w:val="Heading2"/>
      </w:pPr>
      <w:r>
        <w:t>4. Risk Assessment</w:t>
      </w:r>
    </w:p>
    <w:p>
      <w:r/>
      <w:r>
        <w:t>（风险识别与影响分析：LLM未配置，此处为占位内容）</w:t>
      </w:r>
    </w:p>
    <w:p/>
    <w:p>
      <w:pPr>
        <w:pStyle w:val="Heading2"/>
      </w:pPr>
      <w:r>
        <w:t>5. Mitigation Measures</w:t>
      </w:r>
    </w:p>
    <w:p>
      <w:r/>
      <w:r>
        <w:t>（控制措施与缓解方案：LLM未配置，此处为占位内容）</w:t>
      </w:r>
    </w:p>
    <w:p/>
    <w:p>
      <w:pPr>
        <w:pStyle w:val="Heading2"/>
      </w:pPr>
      <w:r>
        <w:t>6. Residual Risk and Sign-off</w:t>
      </w:r>
    </w:p>
    <w:p>
      <w:r/>
      <w:r>
        <w:t>（剩余风险与可接受性判断：LLM未配置，此处为占位内容）</w:t>
      </w:r>
      <w:r>
        <w:br/>
      </w:r>
      <w:r>
        <w:t>（DPO 复核与后续行动：LLM未配置，此处为占位内容）</w:t>
      </w:r>
      <w:r>
        <w:br/>
      </w:r>
      <w:r>
        <w:t>中风险，可接受并持续监控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