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TIA 草案</w:t>
      </w:r>
    </w:p>
    <w:p/>
    <w:p>
      <w:r>
        <w:t>版本：Draft v1.0</w:t>
      </w:r>
    </w:p>
    <w:p/>
    <w:p>
      <w:pPr>
        <w:pStyle w:val="Heading2"/>
      </w:pPr>
      <w:r>
        <w:t>1. Transfer Context</w:t>
      </w:r>
    </w:p>
    <w:p>
      <w:r/>
      <w:r>
        <w:t>（跨境传输场景与角色识别：LLM未配置，此处为占位内容）</w:t>
      </w:r>
    </w:p>
    <w:p/>
    <w:p>
      <w:pPr>
        <w:pStyle w:val="Heading2"/>
      </w:pPr>
      <w:r>
        <w:t>2. Transfer Tool</w:t>
      </w:r>
    </w:p>
    <w:p>
      <w:r/>
      <w:r>
        <w:t>（传输工具适用性判断：LLM未配置，此处为占位内容）</w:t>
      </w:r>
    </w:p>
    <w:p/>
    <w:p>
      <w:pPr>
        <w:pStyle w:val="Heading2"/>
      </w:pPr>
      <w:r>
        <w:t>3. Third Country Risk Analysis</w:t>
      </w:r>
    </w:p>
    <w:p>
      <w:r/>
      <w:r>
        <w:t>（第三国法律与实践评估：LLM未配置，此处为占位内容）</w:t>
      </w:r>
    </w:p>
    <w:p/>
    <w:p>
      <w:pPr>
        <w:pStyle w:val="Heading2"/>
      </w:pPr>
      <w:r>
        <w:t>4. Supplementary Measures</w:t>
      </w:r>
    </w:p>
    <w:p>
      <w:r/>
      <w:r>
        <w:t>（补充措施可执行性评估：LLM未配置，此处为占位内容）</w:t>
      </w:r>
    </w:p>
    <w:p/>
    <w:p>
      <w:pPr>
        <w:pStyle w:val="Heading2"/>
      </w:pPr>
      <w:r>
        <w:t>5. Final Assessment</w:t>
      </w:r>
    </w:p>
    <w:p>
      <w:r/>
      <w:r>
        <w:t>（剩余风险与合规结论：LLM未配置，此处为占位内容）</w:t>
      </w:r>
      <w:r>
        <w:br/>
      </w:r>
      <w:r>
        <w:t>（持续复审与行动计划：LLM未配置，此处为占位内容）</w:t>
      </w:r>
      <w:r>
        <w:br/>
      </w:r>
      <w:r>
        <w:t>在补充措施生效前提下SCC可传输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