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加州 CPRA 合规全景报告（草案）</w:t>
      </w:r>
    </w:p>
    <w:p/>
    <w:p>
      <w:r>
        <w:t>版本：Draft v1.0</w:t>
      </w:r>
    </w:p>
    <w:p/>
    <w:p>
      <w:pPr>
        <w:pStyle w:val="Heading2"/>
      </w:pPr>
      <w:r>
        <w:t>1. 企业现状画像</w:t>
      </w:r>
    </w:p>
    <w:p>
      <w:r/>
      <w:r>
        <w:t>（企业适用性与范围：LLM未配置，此处为占位内容）</w:t>
      </w:r>
    </w:p>
    <w:p/>
    <w:p>
      <w:pPr>
        <w:pStyle w:val="Heading2"/>
      </w:pPr>
      <w:r>
        <w:t>2. CPRA 条款映射</w:t>
      </w:r>
    </w:p>
    <w:p>
      <w:r/>
      <w:r>
        <w:t>（数据处理活动合规分析：LLM未配置，此处为占位内容）</w:t>
      </w:r>
    </w:p>
    <w:p/>
    <w:p>
      <w:pPr>
        <w:pStyle w:val="Heading2"/>
      </w:pPr>
      <w:r>
        <w:t>3. 差距与风险</w:t>
      </w:r>
    </w:p>
    <w:p>
      <w:r/>
      <w:r>
        <w:t>（消费者权利保障评估：LLM未配置，此处为占位内容）</w:t>
      </w:r>
    </w:p>
    <w:p/>
    <w:p>
      <w:pPr>
        <w:pStyle w:val="Heading2"/>
      </w:pPr>
      <w:r>
        <w:t>4. 整改路线图</w:t>
      </w:r>
    </w:p>
    <w:p>
      <w:r/>
      <w:r>
        <w:t>（行动清单与优先级：LLM未配置，此处为占位内容）</w:t>
      </w:r>
    </w:p>
    <w:p/>
    <w:p>
      <w:pPr>
        <w:pStyle w:val="Heading2"/>
      </w:pPr>
      <w:r>
        <w:t>5. 结论</w:t>
      </w:r>
    </w:p>
    <w:p>
      <w:r/>
      <w:r>
        <w:t>（执行摘要：LLM未配置，此处为占位内容）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