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CA016">
      <w:pPr>
        <w:pStyle w:val="2"/>
        <w:rPr>
          <w:color w:val="auto"/>
        </w:rPr>
      </w:pPr>
      <w:r>
        <w:rPr>
          <w:color w:val="auto"/>
        </w:rPr>
        <w:t>“数规通”——AI驱动的数据跨境合规诊断与文书智能生成平台调研文档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085"/>
      </w:tblGrid>
      <w:tr w14:paraId="3804591B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2C6A6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项目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F8AF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内容</w:t>
            </w:r>
          </w:p>
        </w:tc>
      </w:tr>
      <w:tr w14:paraId="739C70E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50DC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20301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“数规通”项目调研文档</w:t>
            </w:r>
          </w:p>
        </w:tc>
      </w:tr>
      <w:tr w14:paraId="77FCC1B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D2634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调研范围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D2D56">
            <w:pPr>
              <w:pStyle w:val="16"/>
              <w:rPr>
                <w:rFonts w:hint="eastAsia" w:eastAsia="等线"/>
                <w:color w:val="auto"/>
                <w:lang w:eastAsia="zh-CN"/>
              </w:rPr>
            </w:pPr>
            <w:r>
              <w:rPr>
                <w:color w:val="auto"/>
              </w:rPr>
              <w:t>国内</w:t>
            </w:r>
            <w:r>
              <w:rPr>
                <w:rFonts w:hint="eastAsia"/>
                <w:color w:val="auto"/>
                <w:lang w:val="en-US" w:eastAsia="zh-CN"/>
              </w:rPr>
              <w:t>2</w:t>
            </w:r>
            <w:r>
              <w:rPr>
                <w:color w:val="auto"/>
              </w:rPr>
              <w:t>家数据合规平台、国外4家数据合规平台</w:t>
            </w:r>
          </w:p>
        </w:tc>
      </w:tr>
      <w:tr w14:paraId="786EEEC0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73528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调研目的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C8205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分析同类平台功能特性，为“数规通”产品设计、功能优化、技术选型提供参考依据</w:t>
            </w:r>
          </w:p>
        </w:tc>
      </w:tr>
      <w:tr w14:paraId="1F94AA3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F38A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调研日期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ED376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2026年3月</w:t>
            </w:r>
          </w:p>
        </w:tc>
      </w:tr>
      <w:tr w14:paraId="6D49E59B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0A078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调研人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4B8B2">
            <w:pPr>
              <w:pStyle w:val="16"/>
              <w:rPr>
                <w:rFonts w:hint="eastAsia" w:eastAsia="等线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李佳静</w:t>
            </w:r>
          </w:p>
        </w:tc>
      </w:tr>
      <w:tr w14:paraId="7F3721C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EEB9D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参考资料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1E235">
            <w:pPr>
              <w:pStyle w:val="16"/>
              <w:rPr>
                <w:rStyle w:val="12"/>
                <w:color w:val="auto"/>
              </w:rPr>
            </w:pPr>
            <w:r>
              <w:rPr>
                <w:rFonts w:hint="eastAsia"/>
                <w:color w:val="auto"/>
              </w:rPr>
              <w:t>https://my.feishu.cn/wiki/CH97wawHeiZ4AVklG87cR5iSnQb</w:t>
            </w:r>
          </w:p>
        </w:tc>
      </w:tr>
    </w:tbl>
    <w:p w14:paraId="03FBA0CF">
      <w:pPr>
        <w:pStyle w:val="2"/>
        <w:rPr>
          <w:color w:val="auto"/>
        </w:rPr>
      </w:pPr>
      <w:r>
        <w:rPr>
          <w:color w:val="auto"/>
        </w:rPr>
        <w:t>一、调研背景与目标</w:t>
      </w:r>
    </w:p>
    <w:p w14:paraId="18F72829">
      <w:pPr>
        <w:pStyle w:val="3"/>
        <w:rPr>
          <w:color w:val="auto"/>
        </w:rPr>
      </w:pPr>
      <w:r>
        <w:rPr>
          <w:color w:val="auto"/>
        </w:rPr>
        <w:t>1.1调研背景</w:t>
      </w:r>
    </w:p>
    <w:p w14:paraId="50736547">
      <w:pPr>
        <w:pStyle w:val="16"/>
        <w:ind w:firstLine="440" w:firstLineChars="20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随着我国《数据安全法》《个人信息保护法》《数据出境安全评估办法》《个人信息出境标准合同办法》等法律法规逐步完善，企业开展跨境数据业务面临日趋严格的监管要求。在实际业务中，企业普遍面临三大痛点：一是无法准确判断合规路径，不清楚应走安全评估、标准合同还是认证流程；二是不会撰写合规文书，难以自主完成风险评估报告、PIPIA、TIA等专业材料；三是不会审查法律文件，无法识别隐私政策、数据处理协议、出境合同中的合规风险。</w:t>
      </w:r>
    </w:p>
    <w:p w14:paraId="55370F20">
      <w:pPr>
        <w:pStyle w:val="16"/>
        <w:ind w:firstLine="440" w:firstLineChars="20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当前市场解决方案高度依赖律师与咨询机构，存在成本高、周期长、专业性不稳定、难以标准化等问题。在此背景下，“数规通”项目以AI技术重构数据跨境合规流程，打造诊断—生成—审查</w:t>
      </w:r>
      <w:r>
        <w:rPr>
          <w:rFonts w:hint="eastAsia"/>
          <w:b w:val="0"/>
          <w:bCs w:val="0"/>
          <w:color w:val="auto"/>
          <w:lang w:val="en-US" w:eastAsia="zh-CN"/>
        </w:rPr>
        <w:t>的</w:t>
      </w:r>
      <w:r>
        <w:rPr>
          <w:b w:val="0"/>
          <w:bCs w:val="0"/>
          <w:color w:val="auto"/>
        </w:rPr>
        <w:t>一体化智能平台，具备明确的市场需求与落地价值。为确保产品定位准确、功能具备竞争力，特开展本次国内外主流合规平台深度调研。</w:t>
      </w:r>
    </w:p>
    <w:p w14:paraId="0AFD5628">
      <w:pPr>
        <w:pStyle w:val="3"/>
        <w:rPr>
          <w:color w:val="auto"/>
        </w:rPr>
      </w:pPr>
      <w:r>
        <w:rPr>
          <w:color w:val="auto"/>
        </w:rPr>
        <w:t>1.2调研目标</w:t>
      </w:r>
    </w:p>
    <w:p w14:paraId="7EB709EA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auto"/>
        </w:rPr>
        <w:t>系统梳理国内外主流数据合规平台的产品定位、核心功能、技术架构、服务模式与优缺点。</w:t>
      </w:r>
    </w:p>
    <w:p w14:paraId="6EA4830B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auto"/>
        </w:rPr>
        <w:t>识别当前市场在数据跨境合规、自动化诊断、智能文书生成、条款级审查等方向的真实供给缺口。</w:t>
      </w:r>
    </w:p>
    <w:p w14:paraId="7BDE37C7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auto"/>
        </w:rPr>
        <w:t>验证“数规通”核心功能路径（路径诊断、文书生成、文档审查）的必要性、可行性与差异化。</w:t>
      </w:r>
    </w:p>
    <w:p w14:paraId="5A716933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auto"/>
        </w:rPr>
        <w:t>为产品架构设计、功能优先级、技术选型提供客观、真实、可落地的依据。</w:t>
      </w:r>
    </w:p>
    <w:p w14:paraId="4DDC9301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auto"/>
        </w:rPr>
        <w:t>提炼行业最佳实践，明确可借鉴点与需规避缺陷。</w:t>
      </w:r>
    </w:p>
    <w:p w14:paraId="2A9D3AFD">
      <w:pPr>
        <w:pStyle w:val="2"/>
        <w:rPr>
          <w:color w:val="auto"/>
        </w:rPr>
      </w:pPr>
      <w:r>
        <w:rPr>
          <w:color w:val="auto"/>
        </w:rPr>
        <w:t>二、同类平台调研分析</w:t>
      </w:r>
    </w:p>
    <w:p w14:paraId="1AED6885">
      <w:pPr>
        <w:pStyle w:val="3"/>
        <w:rPr>
          <w:color w:val="auto"/>
        </w:rPr>
      </w:pPr>
      <w:r>
        <w:rPr>
          <w:color w:val="auto"/>
        </w:rPr>
        <w:t>2.1国外主流数据合规平台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7"/>
        <w:gridCol w:w="1831"/>
        <w:gridCol w:w="1954"/>
        <w:gridCol w:w="1955"/>
        <w:gridCol w:w="1599"/>
      </w:tblGrid>
      <w:tr w14:paraId="52F79FCA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07EA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平台名称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29EA3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核心功能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D240F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技术特点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FC2A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优势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8D9C9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不足</w:t>
            </w:r>
          </w:p>
        </w:tc>
      </w:tr>
      <w:tr w14:paraId="1BA76A4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A4163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Drata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4BCE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1.自动化合规审计（覆盖GDPR、CCPA等跨境合规框架）2.实时合规状态监控3.合规报告自动生成4.员工合规流程管理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7D17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1.规则引擎自动化校验2.多类SaaS工具接口集成3.轻量化RAG辅助条款解读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E705B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1.合规框架覆盖全面2.自动化程度高3.可视化Dashboard清晰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32703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1.无中国数据出境法规适配2.无条款级文档审查3.无中文本地化与文书生成</w:t>
            </w:r>
          </w:p>
        </w:tc>
      </w:tr>
      <w:tr w14:paraId="3E807CE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063D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Nordlayer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887B1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1.跨境数据传输安全链路2.数据传输合规检测3.访问权限管控4.合规日志审计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62AB6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1.VPN/SD-WAN网络安全技术2.规则化合规检测引擎3.流量实时监控分析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7AD97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1.链路安全能力成熟2.权限与审计可追溯性强3.适合跨境办公场景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6CD5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1.仅关注传输安全，不涉及法律合规2.无路径诊断、文书生成、AI审查3.不属于法律合规工具赛道</w:t>
            </w:r>
          </w:p>
        </w:tc>
      </w:tr>
      <w:tr w14:paraId="3446F8F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1526B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Dataguard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0C7E6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1.GDPR合规自查诊断2.隐私政策/合同模板库3.数据处理活动记录管理4.合规风险预警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1F0EF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1.问卷式静态诊断2.模板化文书填充3.基础NLP关键词匹配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7D95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1.轻量化易操作2.贴合欧盟监管3.适合中小企业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117EC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1.无动态状态机与可解释判断2.文书仅模板替换，无AI推理3.无中国法规适配</w:t>
            </w:r>
          </w:p>
        </w:tc>
      </w:tr>
      <w:tr w14:paraId="3E810B7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DD6C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OneTrust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73C6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1.全生命周期数据合规管理2.多法域合规规则引擎3.隐私政策生成与审查4.风险量化评估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45D2C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1.大规模RAG+法规知识库2.多模态文档解析3.可视化工作流编排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75650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1.全球覆盖最广、企业级能力强2.条款审查能力国际领先3.法规库更新及时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8754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1.中国出境规则适配极弱2.价格昂贵、部署复杂3.不适合中小企业</w:t>
            </w:r>
          </w:p>
        </w:tc>
      </w:tr>
    </w:tbl>
    <w:p w14:paraId="797B8D79">
      <w:pPr>
        <w:pStyle w:val="3"/>
        <w:rPr>
          <w:color w:val="auto"/>
        </w:rPr>
      </w:pPr>
      <w:r>
        <w:rPr>
          <w:color w:val="auto"/>
        </w:rPr>
        <w:t>2.2国内主流数据合规平台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1"/>
        <w:gridCol w:w="1803"/>
        <w:gridCol w:w="1803"/>
        <w:gridCol w:w="1803"/>
        <w:gridCol w:w="1896"/>
      </w:tblGrid>
      <w:tr w14:paraId="5C55047F">
        <w:tc>
          <w:tcPr>
            <w:tcW w:w="19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F5A58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平台名称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E96C5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核心功能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B9D70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技术特点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E0D3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优势</w:t>
            </w:r>
          </w:p>
        </w:tc>
        <w:tc>
          <w:tcPr>
            <w:tcW w:w="1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A4FC9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不足</w:t>
            </w:r>
          </w:p>
        </w:tc>
      </w:tr>
      <w:tr w14:paraId="50DED20B">
        <w:tc>
          <w:tcPr>
            <w:tcW w:w="19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115E0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史宾格安全及隐私合规平台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1E17A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1.数据合规自查与风险评估2.隐私政策/合同审查3.数据出境合规咨询4.合规知识库与培训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A52E6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1.规则驱动风险评分2.关键词检索+简单文本比对3.人工+智能模式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09AF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1.本土化法规理解准确2.专家咨询能力强3.贴合国内监管口径</w:t>
            </w:r>
          </w:p>
        </w:tc>
        <w:tc>
          <w:tcPr>
            <w:tcW w:w="1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C0CD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1.高度依赖人工，自动化低2.无动态诊断、无状态机3.智能文书生成能力极弱</w:t>
            </w:r>
          </w:p>
        </w:tc>
      </w:tr>
      <w:tr w14:paraId="73672B4F">
        <w:tc>
          <w:tcPr>
            <w:tcW w:w="19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DA7BA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ECSS企业合规服务系统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CC6DD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1.通用合规与数据合规管理2.流程审批与风险台账3.风险预警与整改跟踪4.合规报告生成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7E219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1.低代码流程搭建2.结构化数据管理3.规则引擎统计报告</w:t>
            </w:r>
          </w:p>
        </w:tc>
        <w:tc>
          <w:tcPr>
            <w:tcW w:w="18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EAE0B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1.企业内部管理适配性强2.台账与审计能力完善3.支持多部门协作</w:t>
            </w:r>
          </w:p>
        </w:tc>
        <w:tc>
          <w:tcPr>
            <w:tcW w:w="1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23068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1.跨境专项能力薄弱2.无AI条款审查与推理生成3.报告以统计为主，无法律专业性</w:t>
            </w:r>
          </w:p>
        </w:tc>
      </w:tr>
    </w:tbl>
    <w:p w14:paraId="2EC1D4FC">
      <w:pPr>
        <w:pStyle w:val="2"/>
        <w:rPr>
          <w:color w:val="auto"/>
        </w:rPr>
      </w:pPr>
      <w:r>
        <w:rPr>
          <w:color w:val="auto"/>
        </w:rPr>
        <w:t>三、“数规通”与同类平台对比分析</w:t>
      </w:r>
    </w:p>
    <w:p w14:paraId="63F96D24">
      <w:pPr>
        <w:pStyle w:val="3"/>
        <w:rPr>
          <w:color w:val="auto"/>
        </w:rPr>
      </w:pPr>
      <w:r>
        <w:rPr>
          <w:color w:val="auto"/>
        </w:rPr>
        <w:t>3.1核心功能对比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5"/>
        <w:gridCol w:w="2350"/>
        <w:gridCol w:w="2395"/>
        <w:gridCol w:w="2286"/>
      </w:tblGrid>
      <w:tr w14:paraId="44498222">
        <w:tc>
          <w:tcPr>
            <w:tcW w:w="22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29A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功能维度</w:t>
            </w:r>
          </w:p>
        </w:tc>
        <w:tc>
          <w:tcPr>
            <w:tcW w:w="23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EC1C5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数规通</w:t>
            </w:r>
          </w:p>
        </w:tc>
        <w:tc>
          <w:tcPr>
            <w:tcW w:w="23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327EF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国外平台</w:t>
            </w:r>
          </w:p>
        </w:tc>
        <w:tc>
          <w:tcPr>
            <w:tcW w:w="22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62559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国内平台</w:t>
            </w:r>
          </w:p>
        </w:tc>
      </w:tr>
      <w:tr w14:paraId="0F3BA2BA">
        <w:tc>
          <w:tcPr>
            <w:tcW w:w="22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7822D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数据跨境路径诊断</w:t>
            </w:r>
          </w:p>
        </w:tc>
        <w:tc>
          <w:tcPr>
            <w:tcW w:w="23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969D6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1.动态问答+状态机2.</w:t>
            </w:r>
            <w:r>
              <w:rPr>
                <w:rFonts w:hint="eastAsia"/>
                <w:color w:val="auto"/>
              </w:rPr>
              <w:t>前端状态机诊断响应&lt;50ms、智能文书生成30s–2min、单条款智能审查&lt;3s</w:t>
            </w:r>
            <w:r>
              <w:rPr>
                <w:rFonts w:hint="eastAsia"/>
                <w:color w:val="auto"/>
                <w:lang w:val="en-US" w:eastAsia="zh-CN"/>
              </w:rPr>
              <w:t xml:space="preserve"> </w:t>
            </w:r>
            <w:r>
              <w:rPr>
                <w:color w:val="auto"/>
              </w:rPr>
              <w:t>3.可解释、可回退、可预填4.深度适配中国出境规则</w:t>
            </w:r>
          </w:p>
        </w:tc>
        <w:tc>
          <w:tcPr>
            <w:tcW w:w="23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598E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1.通用合规自查2.静态问卷无动态调整3.无中国规则适配</w:t>
            </w:r>
          </w:p>
        </w:tc>
        <w:tc>
          <w:tcPr>
            <w:tcW w:w="22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C2C8F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1.静态规则/表单2.无交互、无状态机3.依赖人工判断</w:t>
            </w:r>
          </w:p>
        </w:tc>
      </w:tr>
      <w:tr w14:paraId="2F4A2262">
        <w:tc>
          <w:tcPr>
            <w:tcW w:w="22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7237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合规文书智能生成</w:t>
            </w:r>
          </w:p>
        </w:tc>
        <w:tc>
          <w:tcPr>
            <w:tcW w:w="23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515C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1.多类型专业文书生成2.插件化框架易扩展3.RAG+法规引用链4.官方模板适配</w:t>
            </w:r>
          </w:p>
        </w:tc>
        <w:tc>
          <w:tcPr>
            <w:tcW w:w="23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E429D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1.仅欧美文书模板2.无中国出境报告能力3.无专业法律推理</w:t>
            </w:r>
          </w:p>
        </w:tc>
        <w:tc>
          <w:tcPr>
            <w:tcW w:w="22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C18A9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1.简单模板填充2.无法规分析与推理3.类型少、专业性弱</w:t>
            </w:r>
          </w:p>
        </w:tc>
      </w:tr>
      <w:tr w14:paraId="57B4F3C1">
        <w:tc>
          <w:tcPr>
            <w:tcW w:w="22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FB948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文档智能审查</w:t>
            </w:r>
          </w:p>
        </w:tc>
        <w:tc>
          <w:tcPr>
            <w:tcW w:w="23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003D9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1.条款级切分→分类→并行审查2.风险分级+修改建议+法规依据3.双栏视图、高亮定位</w:t>
            </w:r>
          </w:p>
        </w:tc>
        <w:tc>
          <w:tcPr>
            <w:tcW w:w="23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9973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1.仅OneTrust有条款能力2.无中国法规适配3.无定制化审查</w:t>
            </w:r>
          </w:p>
        </w:tc>
        <w:tc>
          <w:tcPr>
            <w:tcW w:w="22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A4E34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1.关键词检索、表层比对2.无条款理解3.依赖人工</w:t>
            </w:r>
          </w:p>
        </w:tc>
      </w:tr>
    </w:tbl>
    <w:p w14:paraId="09F81D5B">
      <w:pPr>
        <w:pStyle w:val="3"/>
        <w:rPr>
          <w:color w:val="auto"/>
        </w:rPr>
      </w:pPr>
      <w:r>
        <w:rPr>
          <w:color w:val="auto"/>
        </w:rPr>
        <w:t>3.2技术架构对比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9"/>
        <w:gridCol w:w="2526"/>
        <w:gridCol w:w="2307"/>
        <w:gridCol w:w="2244"/>
      </w:tblGrid>
      <w:tr w14:paraId="3EFC163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567D1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技术维度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168F0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数规通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C779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国外平台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C52C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国内平台</w:t>
            </w:r>
          </w:p>
        </w:tc>
      </w:tr>
      <w:tr w14:paraId="4701324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2C57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底层技术栈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5D033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React 18+Next.js、FastAPI、腾讯元器、Milvus/Qdrant、RAG、Celery异步调度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CA378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自研规则引擎、通用RAG、云原生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E5981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规则引擎为主、AI能力薄弱</w:t>
            </w:r>
          </w:p>
        </w:tc>
      </w:tr>
      <w:tr w14:paraId="739642F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82AD2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本地化适配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AB805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深度适配中国法规、中文Prompt、本土化交互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7260A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无中文、无中国出境适配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B1C1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法规适配强，但技术架构老旧</w:t>
            </w:r>
          </w:p>
        </w:tc>
      </w:tr>
      <w:tr w14:paraId="40A2E59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366E4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性能与效率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EE35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诊断&lt;50ms、生成30s–2min、单条款审查&lt;3s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B21BF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通用场景优，中文处理差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A736">
            <w:pPr>
              <w:pStyle w:val="16"/>
              <w:rPr>
                <w:color w:val="auto"/>
              </w:rPr>
            </w:pPr>
            <w:r>
              <w:rPr>
                <w:color w:val="auto"/>
              </w:rPr>
              <w:t>自动化低、整体效率低</w:t>
            </w:r>
          </w:p>
        </w:tc>
      </w:tr>
    </w:tbl>
    <w:p w14:paraId="31757353">
      <w:pPr>
        <w:pStyle w:val="3"/>
        <w:rPr>
          <w:color w:val="auto"/>
        </w:rPr>
      </w:pPr>
      <w:r>
        <w:rPr>
          <w:color w:val="auto"/>
        </w:rPr>
        <w:t>3.3差异化竞争优势</w:t>
      </w:r>
    </w:p>
    <w:p w14:paraId="47FC1624">
      <w:pPr>
        <w:pStyle w:val="16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场景高度聚焦</w:t>
      </w:r>
      <w:r>
        <w:rPr>
          <w:color w:val="auto"/>
        </w:rPr>
        <w:t>：专注数据跨境合规，不做泛合规，深度理解监管规则。</w:t>
      </w:r>
    </w:p>
    <w:p w14:paraId="3779FF8D">
      <w:pPr>
        <w:pStyle w:val="16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一体化闭环</w:t>
      </w:r>
      <w:r>
        <w:rPr>
          <w:color w:val="auto"/>
        </w:rPr>
        <w:t>：诊断—生成—审查全流程自动化，上下文传递，大幅降低操作成本。</w:t>
      </w:r>
    </w:p>
    <w:p w14:paraId="2AC41795">
      <w:pPr>
        <w:pStyle w:val="16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AI与法律深度融合</w:t>
      </w:r>
      <w:r>
        <w:rPr>
          <w:color w:val="auto"/>
        </w:rPr>
        <w:t>：状态机诊断、RAG精准检索、条款级理解、长文本推理，真正实现法律AI能力。</w:t>
      </w:r>
    </w:p>
    <w:p w14:paraId="52344660">
      <w:pPr>
        <w:pStyle w:val="16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产品体验现代化</w:t>
      </w:r>
      <w:r>
        <w:rPr>
          <w:color w:val="auto"/>
        </w:rPr>
        <w:t>：低延迟诊断、多步表单、进度可视化、双栏审查视图，接近互联网产品体验。</w:t>
      </w:r>
    </w:p>
    <w:p w14:paraId="368B312A">
      <w:pPr>
        <w:pStyle w:val="16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普惠低成本</w:t>
      </w:r>
      <w:r>
        <w:rPr>
          <w:color w:val="auto"/>
        </w:rPr>
        <w:t>：以AI替代人工服务，让中小企业可负担专业合规能力。</w:t>
      </w:r>
    </w:p>
    <w:p w14:paraId="0E7AAD91">
      <w:pPr>
        <w:pStyle w:val="3"/>
        <w:rPr>
          <w:color w:val="auto"/>
        </w:rPr>
      </w:pPr>
      <w:r>
        <w:rPr>
          <w:color w:val="auto"/>
        </w:rPr>
        <w:t>3.4可借鉴与待优化点</w:t>
      </w:r>
    </w:p>
    <w:p w14:paraId="2B9C8532">
      <w:pPr>
        <w:pStyle w:val="16"/>
        <w:numPr>
          <w:ilvl w:val="0"/>
          <w:numId w:val="3"/>
        </w:numPr>
        <w:rPr>
          <w:color w:val="auto"/>
        </w:rPr>
      </w:pPr>
      <w:r>
        <w:rPr>
          <w:color w:val="auto"/>
        </w:rPr>
        <w:t>借鉴OneTrust、Drata的</w:t>
      </w:r>
      <w:r>
        <w:rPr>
          <w:b/>
          <w:bCs/>
          <w:color w:val="auto"/>
        </w:rPr>
        <w:t>法规实时更新机制</w:t>
      </w:r>
      <w:r>
        <w:rPr>
          <w:color w:val="auto"/>
        </w:rPr>
        <w:t>。</w:t>
      </w:r>
    </w:p>
    <w:p w14:paraId="5424386C">
      <w:pPr>
        <w:pStyle w:val="16"/>
        <w:numPr>
          <w:ilvl w:val="0"/>
          <w:numId w:val="3"/>
        </w:numPr>
        <w:rPr>
          <w:color w:val="auto"/>
        </w:rPr>
      </w:pPr>
      <w:r>
        <w:rPr>
          <w:color w:val="auto"/>
        </w:rPr>
        <w:t>借鉴Nordlayer、ECSS的</w:t>
      </w:r>
      <w:r>
        <w:rPr>
          <w:b/>
          <w:bCs/>
          <w:color w:val="auto"/>
        </w:rPr>
        <w:t>可视化Dashboard</w:t>
      </w:r>
      <w:r>
        <w:rPr>
          <w:color w:val="auto"/>
        </w:rPr>
        <w:t>。</w:t>
      </w:r>
    </w:p>
    <w:p w14:paraId="341C21DB">
      <w:pPr>
        <w:pStyle w:val="16"/>
        <w:numPr>
          <w:ilvl w:val="0"/>
          <w:numId w:val="3"/>
        </w:numPr>
        <w:rPr>
          <w:color w:val="auto"/>
        </w:rPr>
      </w:pPr>
      <w:r>
        <w:rPr>
          <w:color w:val="auto"/>
        </w:rPr>
        <w:t>借鉴Dataguard的</w:t>
      </w:r>
      <w:r>
        <w:rPr>
          <w:b/>
          <w:bCs/>
          <w:color w:val="auto"/>
        </w:rPr>
        <w:t>轻量化部署模式</w:t>
      </w:r>
      <w:r>
        <w:rPr>
          <w:color w:val="auto"/>
        </w:rPr>
        <w:t>。</w:t>
      </w:r>
    </w:p>
    <w:p w14:paraId="4D694860">
      <w:pPr>
        <w:pStyle w:val="16"/>
        <w:numPr>
          <w:ilvl w:val="0"/>
          <w:numId w:val="3"/>
        </w:numPr>
        <w:rPr>
          <w:color w:val="auto"/>
        </w:rPr>
      </w:pPr>
      <w:r>
        <w:rPr>
          <w:color w:val="auto"/>
        </w:rPr>
        <w:t>借鉴史宾格的</w:t>
      </w:r>
      <w:r>
        <w:rPr>
          <w:b/>
          <w:bCs/>
          <w:color w:val="auto"/>
        </w:rPr>
        <w:t>人工+智能专家协作模式</w:t>
      </w:r>
      <w:r>
        <w:rPr>
          <w:color w:val="auto"/>
        </w:rPr>
        <w:t>。</w:t>
      </w:r>
    </w:p>
    <w:p w14:paraId="3B26B800">
      <w:pPr>
        <w:pStyle w:val="16"/>
        <w:numPr>
          <w:ilvl w:val="0"/>
          <w:numId w:val="3"/>
        </w:numPr>
        <w:rPr>
          <w:color w:val="auto"/>
        </w:rPr>
      </w:pPr>
      <w:r>
        <w:rPr>
          <w:color w:val="auto"/>
        </w:rPr>
        <w:t>强化多法域扩展能力，支持GDPR、CCPA等国际规则。</w:t>
      </w:r>
    </w:p>
    <w:p w14:paraId="6B3B3462">
      <w:pPr>
        <w:pStyle w:val="2"/>
        <w:rPr>
          <w:color w:val="auto"/>
        </w:rPr>
      </w:pPr>
      <w:r>
        <w:rPr>
          <w:color w:val="auto"/>
        </w:rPr>
        <w:t>四、调研结论与建议</w:t>
      </w:r>
    </w:p>
    <w:p w14:paraId="6E64F92B">
      <w:pPr>
        <w:pStyle w:val="3"/>
        <w:rPr>
          <w:color w:val="auto"/>
        </w:rPr>
      </w:pPr>
      <w:r>
        <w:rPr>
          <w:color w:val="auto"/>
        </w:rPr>
        <w:t>4.1核心结论</w:t>
      </w:r>
    </w:p>
    <w:p w14:paraId="4FA56CAE">
      <w:pPr>
        <w:pStyle w:val="16"/>
        <w:numPr>
          <w:ilvl w:val="0"/>
          <w:numId w:val="4"/>
        </w:numPr>
        <w:rPr>
          <w:color w:val="auto"/>
        </w:rPr>
      </w:pPr>
      <w:r>
        <w:rPr>
          <w:b/>
          <w:bCs/>
          <w:color w:val="auto"/>
        </w:rPr>
        <w:t>技术路线完全可行</w:t>
      </w:r>
      <w:r>
        <w:rPr>
          <w:color w:val="auto"/>
        </w:rPr>
        <w:t>：基于大模型、RAG、状态机、工作流编排可稳定实现核心功能。</w:t>
      </w:r>
    </w:p>
    <w:p w14:paraId="34849388">
      <w:pPr>
        <w:pStyle w:val="16"/>
        <w:numPr>
          <w:ilvl w:val="0"/>
          <w:numId w:val="4"/>
        </w:numPr>
        <w:rPr>
          <w:color w:val="auto"/>
        </w:rPr>
      </w:pPr>
      <w:r>
        <w:rPr>
          <w:b/>
          <w:bCs/>
          <w:color w:val="auto"/>
        </w:rPr>
        <w:t>痛点真实且强烈</w:t>
      </w:r>
      <w:r>
        <w:rPr>
          <w:color w:val="auto"/>
        </w:rPr>
        <w:t>：企业路径判断难、文书撰写难、文档审查难的问题未被任何现有平台完整解决。</w:t>
      </w:r>
    </w:p>
    <w:p w14:paraId="3B167EF0">
      <w:pPr>
        <w:pStyle w:val="16"/>
        <w:numPr>
          <w:ilvl w:val="0"/>
          <w:numId w:val="4"/>
        </w:numPr>
        <w:rPr>
          <w:color w:val="auto"/>
        </w:rPr>
      </w:pPr>
      <w:r>
        <w:rPr>
          <w:b/>
          <w:bCs/>
          <w:color w:val="auto"/>
        </w:rPr>
        <w:t>差异化优势明确</w:t>
      </w:r>
      <w:r>
        <w:rPr>
          <w:color w:val="auto"/>
        </w:rPr>
        <w:t>：比国际平台更本土化，比国内平台更智能、更自动化、更闭环。</w:t>
      </w:r>
    </w:p>
    <w:p w14:paraId="4312A02E">
      <w:pPr>
        <w:pStyle w:val="3"/>
        <w:rPr>
          <w:color w:val="auto"/>
        </w:rPr>
      </w:pPr>
      <w:r>
        <w:rPr>
          <w:color w:val="auto"/>
        </w:rPr>
        <w:t>4.2产品设计建议</w:t>
      </w:r>
    </w:p>
    <w:p w14:paraId="4FFD4518">
      <w:pPr>
        <w:pStyle w:val="16"/>
        <w:numPr>
          <w:ilvl w:val="0"/>
          <w:numId w:val="5"/>
        </w:numPr>
        <w:rPr>
          <w:color w:val="auto"/>
        </w:rPr>
      </w:pPr>
      <w:r>
        <w:rPr>
          <w:b/>
          <w:bCs/>
          <w:color w:val="auto"/>
        </w:rPr>
        <w:t>第一阶段（核心闭环）</w:t>
      </w:r>
      <w:r>
        <w:rPr>
          <w:color w:val="auto"/>
        </w:rPr>
        <w:t>：路径诊断+安全评估报告生成+基础文档审查。</w:t>
      </w:r>
    </w:p>
    <w:p w14:paraId="0A2DBE4B">
      <w:pPr>
        <w:pStyle w:val="16"/>
        <w:numPr>
          <w:ilvl w:val="0"/>
          <w:numId w:val="5"/>
        </w:numPr>
        <w:rPr>
          <w:color w:val="auto"/>
        </w:rPr>
      </w:pPr>
      <w:r>
        <w:rPr>
          <w:b/>
          <w:bCs/>
          <w:color w:val="auto"/>
        </w:rPr>
        <w:t>第二阶段（能力扩展）</w:t>
      </w:r>
      <w:r>
        <w:rPr>
          <w:color w:val="auto"/>
        </w:rPr>
        <w:t>：PIPIA、TIA、标准合同、尽调报告生成，强化条款审查。</w:t>
      </w:r>
    </w:p>
    <w:p w14:paraId="3D4B0860">
      <w:pPr>
        <w:pStyle w:val="16"/>
        <w:numPr>
          <w:ilvl w:val="0"/>
          <w:numId w:val="5"/>
        </w:numPr>
        <w:rPr>
          <w:color w:val="auto"/>
        </w:rPr>
      </w:pPr>
      <w:r>
        <w:rPr>
          <w:b/>
          <w:bCs/>
          <w:color w:val="auto"/>
        </w:rPr>
        <w:t>第三阶段（生态完善）</w:t>
      </w:r>
      <w:r>
        <w:rPr>
          <w:color w:val="auto"/>
        </w:rPr>
        <w:t>：合规仪表盘、多法域支持、专家协作接口、私有化部署。</w:t>
      </w:r>
    </w:p>
    <w:p w14:paraId="748AFDA2">
      <w:pPr>
        <w:pStyle w:val="2"/>
        <w:rPr>
          <w:color w:val="auto"/>
        </w:rPr>
      </w:pPr>
      <w:r>
        <w:rPr>
          <w:color w:val="auto"/>
        </w:rPr>
        <w:t>五、附录</w:t>
      </w:r>
    </w:p>
    <w:p w14:paraId="22796121">
      <w:pPr>
        <w:pStyle w:val="3"/>
        <w:rPr>
          <w:color w:val="auto"/>
        </w:rPr>
      </w:pPr>
      <w:r>
        <w:rPr>
          <w:color w:val="auto"/>
        </w:rPr>
        <w:t>5.1调研方法</w:t>
      </w:r>
    </w:p>
    <w:p w14:paraId="06B2E378">
      <w:pPr>
        <w:pStyle w:val="16"/>
        <w:numPr>
          <w:ilvl w:val="0"/>
          <w:numId w:val="6"/>
        </w:numPr>
        <w:rPr>
          <w:color w:val="auto"/>
        </w:rPr>
      </w:pPr>
      <w:r>
        <w:rPr>
          <w:color w:val="auto"/>
        </w:rPr>
        <w:t>各平台官网与公开产品手册分析</w:t>
      </w:r>
    </w:p>
    <w:p w14:paraId="65D3655F">
      <w:pPr>
        <w:pStyle w:val="16"/>
        <w:numPr>
          <w:ilvl w:val="0"/>
          <w:numId w:val="6"/>
        </w:numPr>
        <w:rPr>
          <w:color w:val="auto"/>
        </w:rPr>
      </w:pPr>
      <w:r>
        <w:rPr>
          <w:color w:val="auto"/>
        </w:rPr>
        <w:t>行业白皮书、合规报告整理</w:t>
      </w:r>
    </w:p>
    <w:p w14:paraId="6CB524B6">
      <w:pPr>
        <w:pStyle w:val="16"/>
        <w:numPr>
          <w:ilvl w:val="0"/>
          <w:numId w:val="6"/>
        </w:numPr>
        <w:rPr>
          <w:color w:val="auto"/>
        </w:rPr>
      </w:pPr>
      <w:r>
        <w:rPr>
          <w:color w:val="auto"/>
        </w:rPr>
        <w:t>产品试用与功能实测</w:t>
      </w:r>
    </w:p>
    <w:p w14:paraId="27A4B358">
      <w:pPr>
        <w:pStyle w:val="16"/>
        <w:numPr>
          <w:ilvl w:val="0"/>
          <w:numId w:val="6"/>
        </w:numPr>
        <w:rPr>
          <w:color w:val="auto"/>
        </w:rPr>
      </w:pPr>
      <w:r>
        <w:rPr>
          <w:color w:val="auto"/>
        </w:rPr>
        <w:t>企业合规人员、律师访谈验证</w:t>
      </w:r>
    </w:p>
    <w:p w14:paraId="7B969B84">
      <w:pPr>
        <w:pStyle w:val="3"/>
        <w:rPr>
          <w:color w:val="auto"/>
        </w:rPr>
      </w:pPr>
      <w:r>
        <w:rPr>
          <w:color w:val="auto"/>
        </w:rPr>
        <w:t>5.2参考资料</w:t>
      </w:r>
    </w:p>
    <w:p w14:paraId="73F13647">
      <w:pPr>
        <w:pStyle w:val="16"/>
        <w:numPr>
          <w:ilvl w:val="0"/>
          <w:numId w:val="7"/>
        </w:numPr>
        <w:rPr>
          <w:color w:val="auto"/>
        </w:rPr>
      </w:pPr>
      <w:r>
        <w:rPr>
          <w:color w:val="auto"/>
        </w:rPr>
        <w:t>《数据安全法》《个人信息保护法》《数据出境安全评估办法》</w:t>
      </w:r>
    </w:p>
    <w:p w14:paraId="3DC57E06">
      <w:pPr>
        <w:pStyle w:val="16"/>
        <w:numPr>
          <w:ilvl w:val="0"/>
          <w:numId w:val="7"/>
        </w:numPr>
        <w:rPr>
          <w:color w:val="auto"/>
        </w:rPr>
      </w:pPr>
      <w:r>
        <w:rPr>
          <w:color w:val="auto"/>
        </w:rPr>
        <w:t>国内外数据合规平台公开资料</w:t>
      </w:r>
    </w:p>
    <w:p w14:paraId="5B26AE6F">
      <w:pPr>
        <w:pStyle w:val="16"/>
        <w:numPr>
          <w:ilvl w:val="0"/>
          <w:numId w:val="7"/>
        </w:numPr>
        <w:rPr>
          <w:color w:val="auto"/>
        </w:rPr>
      </w:pPr>
      <w:r>
        <w:rPr>
          <w:color w:val="auto"/>
        </w:rPr>
        <w:t>中国信通院数据跨境合规相关报告</w:t>
      </w:r>
    </w:p>
    <w:p w14:paraId="3E5C9182">
      <w:pPr>
        <w:pStyle w:val="16"/>
        <w:numPr>
          <w:ilvl w:val="0"/>
          <w:numId w:val="7"/>
        </w:numPr>
        <w:rPr>
          <w:color w:val="auto"/>
        </w:rPr>
      </w:pPr>
      <w:r>
        <w:rPr>
          <w:color w:val="auto"/>
        </w:rPr>
        <w:t>飞书项目</w:t>
      </w:r>
      <w:bookmarkStart w:id="0" w:name="_GoBack"/>
      <w:bookmarkEnd w:id="0"/>
      <w:r>
        <w:rPr>
          <w:color w:val="auto"/>
        </w:rPr>
        <w:t>文档：</w:t>
      </w:r>
      <w:r>
        <w:rPr>
          <w:rFonts w:hint="eastAsia"/>
          <w:color w:val="auto"/>
        </w:rPr>
        <w:t>https://my.feishu.cn/wiki/CH97wawHeiZ4AVklG87cR5iSnQb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B1DBA"/>
    <w:multiLevelType w:val="multilevel"/>
    <w:tmpl w:val="B7BB1DB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D9ED4CE"/>
    <w:rsid w:val="5A6BEC3C"/>
    <w:rsid w:val="B7FFE58D"/>
    <w:rsid w:val="EA7F719C"/>
    <w:rsid w:val="FFCED4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40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2026-04-05T06:04:00Z</dcterms:created>
  <dc:creator>Un-named</dc:creator>
  <cp:lastModifiedBy>李佳静</cp:lastModifiedBy>
  <dcterms:modified xsi:type="dcterms:W3CDTF">2026-04-07T11:23:30Z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2F44ECE754B30BEA08A5D0699F38E718_42</vt:lpwstr>
  </property>
</Properties>
</file>