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50207">
      <w:pPr>
        <w:spacing w:line="360" w:lineRule="auto"/>
        <w:jc w:val="center"/>
        <w:rPr>
          <w:rFonts w:hint="default" w:ascii="Times New Roman" w:hAnsi="Times New Roman" w:eastAsia="宋体" w:cs="Times New Roman"/>
          <w:sz w:val="32"/>
          <w:szCs w:val="32"/>
          <w:lang w:val="en-US" w:eastAsia="zh-CN"/>
        </w:rPr>
      </w:pPr>
      <w:r>
        <w:rPr>
          <w:rFonts w:hint="default" w:ascii="Times New Roman" w:hAnsi="Times New Roman" w:eastAsia="宋体" w:cs="Times New Roman"/>
          <w:sz w:val="32"/>
          <w:szCs w:val="32"/>
          <w:lang w:val="en-US" w:eastAsia="zh-CN"/>
        </w:rPr>
        <w:t>【提交材料】</w:t>
      </w:r>
      <w:bookmarkStart w:id="0" w:name="_GoBack"/>
      <w:r>
        <w:rPr>
          <w:rFonts w:hint="default" w:ascii="Times New Roman" w:hAnsi="Times New Roman" w:eastAsia="宋体" w:cs="Times New Roman"/>
          <w:sz w:val="32"/>
          <w:szCs w:val="32"/>
          <w:lang w:val="en-US" w:eastAsia="zh-CN"/>
        </w:rPr>
        <w:t>项目简介1-3部分（V1</w:t>
      </w:r>
      <w:bookmarkEnd w:id="0"/>
      <w:r>
        <w:rPr>
          <w:rFonts w:hint="default" w:ascii="Times New Roman" w:hAnsi="Times New Roman" w:eastAsia="宋体" w:cs="Times New Roman"/>
          <w:sz w:val="32"/>
          <w:szCs w:val="32"/>
          <w:lang w:val="en-US" w:eastAsia="zh-CN"/>
        </w:rPr>
        <w:t>初稿）</w:t>
      </w:r>
    </w:p>
    <w:p w14:paraId="7C658D3E">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outlineLvl w:val="0"/>
        <w:rPr>
          <w:rFonts w:hint="default" w:ascii="Times New Roman" w:hAnsi="Times New Roman" w:eastAsia="宋体" w:cs="Times New Roman"/>
          <w:sz w:val="24"/>
          <w:szCs w:val="24"/>
        </w:rPr>
      </w:pPr>
      <w:r>
        <w:rPr>
          <w:rFonts w:hint="default" w:ascii="Times New Roman" w:hAnsi="Times New Roman" w:eastAsia="宋体" w:cs="Times New Roman"/>
          <w:sz w:val="28"/>
          <w:szCs w:val="28"/>
          <w:lang w:val="en-US" w:eastAsia="zh-CN"/>
        </w:rPr>
        <w:t>一、</w:t>
      </w:r>
      <w:r>
        <w:rPr>
          <w:rFonts w:hint="default" w:ascii="Times New Roman" w:hAnsi="Times New Roman" w:eastAsia="宋体" w:cs="Times New Roman"/>
          <w:sz w:val="28"/>
          <w:szCs w:val="28"/>
        </w:rPr>
        <w:t>项目基础信息</w:t>
      </w:r>
    </w:p>
    <w:p w14:paraId="6C2E1DFD">
      <w:pPr>
        <w:spacing w:line="360" w:lineRule="auto"/>
        <w:ind w:firstLine="480" w:firstLineChars="20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项目名称：数规通——AI驱动的数据跨境合规诊断与文书智能生成平台</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下称：“数规通”平台</w:t>
      </w:r>
      <w:r>
        <w:rPr>
          <w:rFonts w:hint="default" w:ascii="Times New Roman" w:hAnsi="Times New Roman" w:eastAsia="宋体" w:cs="Times New Roman"/>
          <w:sz w:val="24"/>
          <w:szCs w:val="24"/>
          <w:lang w:eastAsia="zh-CN"/>
        </w:rPr>
        <w:t>）</w:t>
      </w:r>
    </w:p>
    <w:p w14:paraId="7B05EBE6">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命题方向：智慧法律</w:t>
      </w:r>
    </w:p>
    <w:p w14:paraId="1EE5FE4E">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题目类别：应用类</w:t>
      </w:r>
    </w:p>
    <w:p w14:paraId="40FD11A0">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核心定位：一款基于腾讯系AI工具与得理法律大模型能力，专为有数据跨境业务的企业及法律服务机构打造的智能化合规SaaS平台。平台通过自动化问卷引导、多法域规则推理与文书智能生成，一站式解决企业在数据出境场景下面临的路径诊断、风险评估与材料制备难题。</w:t>
      </w:r>
    </w:p>
    <w:p w14:paraId="5EC1E919">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outlineLvl w:val="0"/>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二、</w:t>
      </w:r>
      <w:r>
        <w:rPr>
          <w:rFonts w:hint="default" w:ascii="Times New Roman" w:hAnsi="Times New Roman" w:eastAsia="宋体" w:cs="Times New Roman"/>
          <w:sz w:val="28"/>
          <w:szCs w:val="28"/>
          <w:lang w:val="en-US" w:eastAsia="zh-CN"/>
        </w:rPr>
        <w:t>项目需求分析</w:t>
      </w:r>
    </w:p>
    <w:p w14:paraId="6866B00E">
      <w:pPr>
        <w:spacing w:line="360" w:lineRule="auto"/>
        <w:outlineLvl w:val="1"/>
        <w:rPr>
          <w:rFonts w:hint="default" w:ascii="Times New Roman" w:hAnsi="Times New Roman" w:eastAsia="宋体" w:cs="Times New Roman"/>
          <w:b/>
          <w:bCs/>
          <w:sz w:val="24"/>
          <w:szCs w:val="24"/>
          <w:lang w:eastAsia="zh-CN"/>
        </w:rPr>
      </w:pP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lang w:eastAsia="zh-CN"/>
        </w:rPr>
        <w:t>市场与政策背景：强监管时代的刚需</w:t>
      </w:r>
    </w:p>
    <w:p w14:paraId="40366BBA">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着全球数字经济深化，数据跨境流动成为企业全球化运营的命脉，同时也面临日益复杂的合规挑战。中国《个人信息保护法》、《数据安全法》、《网络安全法》及配套规定（如《促进和规范数据跨境流动规定》）构建了以“安全评估、标准合同、保护认证”为核心的三条出境路径。欧盟《通用数据保护条例》（GDPR）及2025年9月正式实施的《数据法案》（Data Act）进一步强化了数据主权与用户数据控制权。美国及各州立法亦呈现碎片化严格监管趋势。</w:t>
      </w:r>
    </w:p>
    <w:p w14:paraId="5E42AC0F">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在这一强监管背景下，</w:t>
      </w:r>
      <w:r>
        <w:rPr>
          <w:rFonts w:hint="default" w:ascii="Times New Roman" w:hAnsi="Times New Roman" w:eastAsia="宋体" w:cs="Times New Roman"/>
          <w:sz w:val="24"/>
          <w:szCs w:val="24"/>
        </w:rPr>
        <w:t>企业一旦违规，将面临巨额罚款、业务中断与声誉损失</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如迪奥上海公司因个人信息违规出境被罚</w:t>
      </w:r>
      <w:r>
        <w:rPr>
          <w:rStyle w:val="5"/>
          <w:rFonts w:hint="default" w:ascii="Times New Roman" w:hAnsi="Times New Roman" w:eastAsia="宋体" w:cs="Times New Roman"/>
          <w:sz w:val="24"/>
          <w:szCs w:val="24"/>
        </w:rPr>
        <w:footnoteReference w:id="0"/>
      </w:r>
      <w:r>
        <w:rPr>
          <w:rFonts w:hint="default" w:ascii="Times New Roman" w:hAnsi="Times New Roman" w:eastAsia="宋体" w:cs="Times New Roman"/>
          <w:sz w:val="24"/>
          <w:szCs w:val="24"/>
        </w:rPr>
        <w:t>、欧盟对TikTok处以5.3亿欧元罚款</w:t>
      </w:r>
      <w:r>
        <w:rPr>
          <w:rStyle w:val="5"/>
          <w:rFonts w:hint="default" w:ascii="Times New Roman" w:hAnsi="Times New Roman" w:eastAsia="宋体" w:cs="Times New Roman"/>
          <w:sz w:val="24"/>
          <w:szCs w:val="24"/>
        </w:rPr>
        <w:footnoteReference w:id="1"/>
      </w:r>
      <w:r>
        <w:rPr>
          <w:rFonts w:hint="default" w:ascii="Times New Roman" w:hAnsi="Times New Roman" w:eastAsia="宋体" w:cs="Times New Roman"/>
          <w:sz w:val="24"/>
          <w:szCs w:val="24"/>
        </w:rPr>
        <w:t>等案例。</w:t>
      </w:r>
    </w:p>
    <w:p w14:paraId="23278C42">
      <w:pPr>
        <w:spacing w:line="360" w:lineRule="auto"/>
        <w:outlineLvl w:val="1"/>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lang w:eastAsia="zh-CN"/>
        </w:rPr>
        <w:t>目标用户与核心痛点</w:t>
      </w:r>
    </w:p>
    <w:p w14:paraId="34A47A01">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“数规通”平台的核心用户主要有两类：一是</w:t>
      </w:r>
      <w:r>
        <w:rPr>
          <w:rFonts w:hint="default" w:ascii="Times New Roman" w:hAnsi="Times New Roman" w:eastAsia="宋体" w:cs="Times New Roman"/>
          <w:sz w:val="24"/>
          <w:szCs w:val="24"/>
        </w:rPr>
        <w:t>跨国企业</w:t>
      </w:r>
      <w:r>
        <w:rPr>
          <w:rFonts w:hint="default" w:ascii="Times New Roman" w:hAnsi="Times New Roman" w:eastAsia="宋体" w:cs="Times New Roman"/>
          <w:sz w:val="24"/>
          <w:szCs w:val="24"/>
          <w:lang w:val="en-US" w:eastAsia="zh-CN"/>
        </w:rPr>
        <w:t>或出海企业</w:t>
      </w:r>
      <w:r>
        <w:rPr>
          <w:rFonts w:hint="default" w:ascii="Times New Roman" w:hAnsi="Times New Roman" w:eastAsia="宋体" w:cs="Times New Roman"/>
          <w:sz w:val="24"/>
          <w:szCs w:val="24"/>
          <w:lang w:val="en-US" w:eastAsia="zh-CN"/>
        </w:rPr>
        <w:t>涉及行业领域包括但不限于：</w:t>
      </w:r>
      <w:r>
        <w:rPr>
          <w:rFonts w:hint="default" w:ascii="Times New Roman" w:hAnsi="Times New Roman" w:eastAsia="宋体" w:cs="Times New Roman"/>
          <w:sz w:val="24"/>
          <w:szCs w:val="24"/>
        </w:rPr>
        <w:t>互联网、金融、汽车、医疗、零售等</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需频繁向境外母公司或关联方传输运营数据、用户个人信息、员工信息等</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二是法律专业人士，包括</w:t>
      </w:r>
      <w:r>
        <w:rPr>
          <w:rFonts w:hint="default" w:ascii="Times New Roman" w:hAnsi="Times New Roman" w:eastAsia="宋体" w:cs="Times New Roman"/>
          <w:sz w:val="24"/>
          <w:szCs w:val="24"/>
        </w:rPr>
        <w:t>律师事务所</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企业法务与合规部门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其</w:t>
      </w:r>
      <w:r>
        <w:rPr>
          <w:rFonts w:hint="default" w:ascii="Times New Roman" w:hAnsi="Times New Roman" w:eastAsia="宋体" w:cs="Times New Roman"/>
          <w:sz w:val="24"/>
          <w:szCs w:val="24"/>
        </w:rPr>
        <w:t>需要高效、准确地为客户或本企业提供数据出境合规方案并制备大量申报材料。</w:t>
      </w:r>
    </w:p>
    <w:p w14:paraId="36A46EA6">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当前</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企业在进行数据跨境传输时，普遍陷入四大困境，这些困境根植于法律的复杂性与动态性，仅靠传统人工方式难以高效、准确地解决。</w:t>
      </w:r>
    </w:p>
    <w:p w14:paraId="325EDAD3">
      <w:pPr>
        <w:spacing w:line="360" w:lineRule="auto"/>
        <w:outlineLvl w:val="2"/>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lang w:eastAsia="zh-CN"/>
        </w:rPr>
        <w:t>路径诊断难</w:t>
      </w:r>
    </w:p>
    <w:p w14:paraId="334412EE">
      <w:pPr>
        <w:spacing w:line="360" w:lineRule="auto"/>
        <w:ind w:firstLine="480"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数据跨境合规路径的初始选择是决定项目成败的关键，一旦误判将导致所有后续工作归零。这一困境根植于法律事实的模糊性与监管身份的复杂性，在传统人工模式下几乎无法高效、准确地解决。</w:t>
      </w:r>
    </w:p>
    <w:p w14:paraId="043D7DFD">
      <w:pPr>
        <w:spacing w:line="360" w:lineRule="auto"/>
        <w:ind w:firstLine="482"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首先，核心法律事实的判定本身充满不确定性。</w:t>
      </w:r>
      <w:r>
        <w:rPr>
          <w:rFonts w:hint="default" w:ascii="Times New Roman" w:hAnsi="Times New Roman" w:eastAsia="宋体" w:cs="Times New Roman"/>
          <w:b w:val="0"/>
          <w:bCs w:val="0"/>
          <w:sz w:val="24"/>
          <w:szCs w:val="24"/>
          <w:lang w:val="en-US" w:eastAsia="zh-CN"/>
        </w:rPr>
        <w:t>例如，根据中国《数据安全法》，企业需自行判断其处理的数据是否属于“重要数据”，但许多行业的具体目录尚未公开，自我定性困难。类似地，判断自身是否属于“关键信息基础设施运营者”（CIIO）也缺乏清晰的公开标准。这种</w:t>
      </w:r>
      <w:r>
        <w:rPr>
          <w:rFonts w:hint="default" w:ascii="Times New Roman" w:hAnsi="Times New Roman" w:eastAsia="宋体" w:cs="Times New Roman"/>
          <w:sz w:val="24"/>
          <w:szCs w:val="24"/>
        </w:rPr>
        <w:t>误判，将直接导致企业在“安全评估”、“保护认证”和“标准合同”三条根本性合规路径入口选错方向，致使数月工作与巨额投入付诸东流。</w:t>
      </w:r>
    </w:p>
    <w:p w14:paraId="665B05EA">
      <w:pPr>
        <w:spacing w:line="360" w:lineRule="auto"/>
        <w:ind w:firstLine="482" w:firstLineChars="20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其次，跨国监管规则的动态性与宽泛性加剧了判断难度。</w:t>
      </w:r>
      <w:r>
        <w:rPr>
          <w:rFonts w:hint="default" w:ascii="Times New Roman" w:hAnsi="Times New Roman" w:eastAsia="宋体" w:cs="Times New Roman"/>
          <w:b w:val="0"/>
          <w:bCs w:val="0"/>
          <w:sz w:val="24"/>
          <w:szCs w:val="24"/>
          <w:lang w:val="en-US" w:eastAsia="zh-CN"/>
        </w:rPr>
        <w:t>以美国《14117号行政命令》为例，企业需判断数据接收方是否属于“被覆盖的人”（Covered Persons）。该定义极为宽泛，不仅包括“关注国”政府，更延伸至由其直接或间接控制50%以上股权的实体、其主要经营地在关注国的实体、其主要居住在关注国的个人，甚至包括可由美国司法部长动态指定的、受其“管辖或指导”的各类主体。这种穿透式的、动态的认定标准，使得企业依靠传统人工方式进行的供应链尽职调查成本高昂且难以穷尽，稍有不慎便会触碰合规红线。</w:t>
      </w:r>
    </w:p>
    <w:p w14:paraId="79ADA4E1">
      <w:pPr>
        <w:spacing w:line="36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bCs w:val="0"/>
          <w:sz w:val="24"/>
          <w:szCs w:val="24"/>
          <w:lang w:val="en-US" w:eastAsia="zh-CN"/>
        </w:rPr>
        <w:t>因此，在传统模式下，企业法务与合规团队不得不投入大量时间进行法规研读、案例比对和内部论证，过程低效且结论充满不确定性。这正是我们产品需要解决的首要、也是最根本的痛点。</w:t>
      </w:r>
    </w:p>
    <w:p w14:paraId="143C8B1B">
      <w:pPr>
        <w:spacing w:line="360" w:lineRule="auto"/>
        <w:outlineLvl w:val="2"/>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lang w:val="en-US" w:eastAsia="zh-CN"/>
        </w:rPr>
        <w:t>审批周期长，不确定性高</w:t>
      </w:r>
    </w:p>
    <w:p w14:paraId="5968A1C9">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尽管</w:t>
      </w:r>
      <w:r>
        <w:rPr>
          <w:rFonts w:hint="default" w:ascii="Times New Roman" w:hAnsi="Times New Roman" w:eastAsia="宋体" w:cs="Times New Roman"/>
          <w:sz w:val="24"/>
          <w:szCs w:val="24"/>
          <w:lang w:val="en-US" w:eastAsia="zh-CN"/>
        </w:rPr>
        <w:t>我</w:t>
      </w:r>
      <w:r>
        <w:rPr>
          <w:rFonts w:hint="default" w:ascii="Times New Roman" w:hAnsi="Times New Roman" w:eastAsia="宋体" w:cs="Times New Roman"/>
          <w:sz w:val="24"/>
          <w:szCs w:val="24"/>
        </w:rPr>
        <w:t>国的数据出境安全评估</w:t>
      </w:r>
      <w:r>
        <w:rPr>
          <w:rFonts w:hint="default" w:ascii="Times New Roman" w:hAnsi="Times New Roman" w:eastAsia="宋体" w:cs="Times New Roman"/>
          <w:sz w:val="24"/>
          <w:szCs w:val="24"/>
          <w:lang w:val="en-US" w:eastAsia="zh-CN"/>
        </w:rPr>
        <w:t>的</w:t>
      </w:r>
      <w:r>
        <w:rPr>
          <w:rFonts w:hint="default" w:ascii="Times New Roman" w:hAnsi="Times New Roman" w:eastAsia="宋体" w:cs="Times New Roman"/>
          <w:sz w:val="24"/>
          <w:szCs w:val="24"/>
        </w:rPr>
        <w:t>监管效率已显著提升</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目前安全评估平均用时已少于30个工作日</w:t>
      </w:r>
      <w:r>
        <w:rPr>
          <w:rStyle w:val="5"/>
          <w:rFonts w:hint="default" w:ascii="Times New Roman" w:hAnsi="Times New Roman" w:eastAsia="宋体" w:cs="Times New Roman"/>
          <w:sz w:val="24"/>
          <w:szCs w:val="24"/>
        </w:rPr>
        <w:footnoteReference w:id="2"/>
      </w:r>
      <w:r>
        <w:rPr>
          <w:rFonts w:hint="default" w:ascii="Times New Roman" w:hAnsi="Times New Roman" w:eastAsia="宋体" w:cs="Times New Roman"/>
          <w:sz w:val="24"/>
          <w:szCs w:val="24"/>
        </w:rPr>
        <w:t>，但数据出境合规的官方审查周期依然漫长且存在较大变数。其法定流程上限长达57个工作日，而实践中，因材料专业性要求高、补正流程繁琐，以及‘情况复杂’项目可被无上限延长审查，企业从准备到最终通过，耗时2-4个月已成为常态，若经历多轮补正，周期拖至半年以上亦不罕见。这种时间成本的不确定性，严重影响了企业全球化业务的数据流转与商业决策效率</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使得企业的全球业务协同与市场拓展计划充满变数。</w:t>
      </w:r>
    </w:p>
    <w:p w14:paraId="69622E83">
      <w:pPr>
        <w:spacing w:line="360" w:lineRule="auto"/>
        <w:outlineLvl w:val="2"/>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lang w:val="en-US" w:eastAsia="zh-CN"/>
        </w:rPr>
        <w:t>材料准备繁琐，耗时耗力</w:t>
      </w:r>
    </w:p>
    <w:p w14:paraId="374BA4C9">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b w:val="0"/>
          <w:bCs w:val="0"/>
          <w:sz w:val="24"/>
          <w:szCs w:val="24"/>
          <w:lang w:val="en-US" w:eastAsia="zh-CN"/>
        </w:rPr>
        <w:t>数据跨境的</w:t>
      </w:r>
      <w:r>
        <w:rPr>
          <w:rFonts w:hint="default" w:ascii="Times New Roman" w:hAnsi="Times New Roman" w:eastAsia="宋体" w:cs="Times New Roman"/>
          <w:b w:val="0"/>
          <w:bCs w:val="0"/>
          <w:sz w:val="24"/>
          <w:szCs w:val="24"/>
        </w:rPr>
        <w:t>操作流程极度繁琐，对企业内部跨部门协同与专业复合能力构成严峻挑战。</w:t>
      </w:r>
      <w:r>
        <w:rPr>
          <w:rFonts w:hint="default" w:ascii="Times New Roman" w:hAnsi="Times New Roman" w:eastAsia="宋体" w:cs="Times New Roman"/>
          <w:sz w:val="24"/>
          <w:szCs w:val="24"/>
          <w:lang w:val="en-US" w:eastAsia="zh-CN"/>
        </w:rPr>
        <w:t>比如，在我国，</w:t>
      </w:r>
      <w:r>
        <w:rPr>
          <w:rFonts w:hint="default" w:ascii="Times New Roman" w:hAnsi="Times New Roman" w:eastAsia="宋体" w:cs="Times New Roman"/>
          <w:sz w:val="24"/>
          <w:szCs w:val="24"/>
        </w:rPr>
        <w:t>无论选择哪条合规路径，企业都必须制备大量结构复杂、要求极高的专业文件</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申报中国数据出境安全评估需系统撰写《数据出境风险自评估报告》等核心材料；进行标准合同备案也需完成《个人信息保护影响评估报告》等七项关键文件。这些报告要求深入融合法律解读、业务流程描述、技术安全措施与风险评估，绝非简单填空。它强制要求企业的法务、合规、信息安全、IT及业务部门进行高强度、无死角的协同，任何环节的理解偏差或信息断层，都可能导致报告质量不合格，引发监管问询甚至直接否决。</w:t>
      </w:r>
    </w:p>
    <w:p w14:paraId="441E8DB8">
      <w:pPr>
        <w:spacing w:line="360" w:lineRule="auto"/>
        <w:outlineLvl w:val="2"/>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4.规则复杂，</w:t>
      </w:r>
      <w:r>
        <w:rPr>
          <w:rFonts w:hint="default" w:ascii="Times New Roman" w:hAnsi="Times New Roman" w:eastAsia="宋体" w:cs="Times New Roman"/>
          <w:b/>
          <w:bCs/>
          <w:sz w:val="24"/>
          <w:szCs w:val="24"/>
          <w:lang w:val="en-US" w:eastAsia="zh-CN"/>
        </w:rPr>
        <w:t>多法域合规协同成本高</w:t>
      </w:r>
    </w:p>
    <w:p w14:paraId="49C62A19">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更</w:t>
      </w:r>
      <w:r>
        <w:rPr>
          <w:rFonts w:hint="default" w:ascii="Times New Roman" w:hAnsi="Times New Roman" w:eastAsia="宋体" w:cs="Times New Roman"/>
          <w:sz w:val="24"/>
          <w:szCs w:val="24"/>
          <w:lang w:val="en-US" w:eastAsia="zh-CN"/>
        </w:rPr>
        <w:t>严重</w:t>
      </w:r>
      <w:r>
        <w:rPr>
          <w:rFonts w:hint="default" w:ascii="Times New Roman" w:hAnsi="Times New Roman" w:eastAsia="宋体" w:cs="Times New Roman"/>
          <w:sz w:val="24"/>
          <w:szCs w:val="24"/>
        </w:rPr>
        <w:t>的是，企业对贯穿数据生命周期的基础性、持续性合规义务认知不足，这构成了数据出境申请被‘一票否决’的极高风险。许多企业误将‘数据出境合规’简化为‘一次性行政备案’，却严重忽视了支撑其合法性的底层义务。</w:t>
      </w:r>
    </w:p>
    <w:p w14:paraId="4FE08EAB">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例如，根据《个人信息保护法》第三十九条，履行‘告知-获取单独同意’义务是任何数据出境行为的绝对前提，但大量企业的隐私政策陈旧、同意机制流于形式，在法律上视为未履行。同时，该法第五十五条要求的‘个人信息保护影响评估’是数据出境前的法定必备动作，但企业提交的自评报告往往对此覆盖不全或流于形式。</w:t>
      </w:r>
    </w:p>
    <w:p w14:paraId="09BF545E">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再如，“</w:t>
      </w:r>
      <w:r>
        <w:rPr>
          <w:rFonts w:hint="default" w:ascii="Times New Roman" w:hAnsi="Times New Roman" w:eastAsia="宋体" w:cs="Times New Roman"/>
          <w:sz w:val="24"/>
          <w:szCs w:val="24"/>
        </w:rPr>
        <w:t>数据出境必要性</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论证——更是重灾区。企业惯用的</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全球业务协同</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技术架构需要</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等模糊说辞，在专业审查下不堪一击。监管要求的是结合具体业务场景、数据流向、最小必要原则的精细化论证。这些基础义务的缺失，会导致无论选择安全评估、标准合同还是认证路径，其申报材料在实质审查阶段被直接驳回。近期网信办公布的未通过案例中，此为首要原因。</w:t>
      </w:r>
    </w:p>
    <w:p w14:paraId="68DBDF0B">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总之，</w:t>
      </w:r>
      <w:r>
        <w:rPr>
          <w:rFonts w:hint="default" w:ascii="Times New Roman" w:hAnsi="Times New Roman" w:eastAsia="宋体" w:cs="Times New Roman"/>
          <w:sz w:val="24"/>
          <w:szCs w:val="24"/>
        </w:rPr>
        <w:t>市场亟需一个能够理解复杂法律规则、进行自动化合规诊断、并一键生成高质量合规文书的智能化工具，以提升合规效率、降低专业门槛与操作风险。</w:t>
      </w:r>
    </w:p>
    <w:p w14:paraId="59AC2A5F">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outlineLvl w:val="0"/>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三、</w:t>
      </w:r>
      <w:r>
        <w:rPr>
          <w:rFonts w:hint="default" w:ascii="Times New Roman" w:hAnsi="Times New Roman" w:eastAsia="宋体" w:cs="Times New Roman"/>
          <w:sz w:val="28"/>
          <w:szCs w:val="28"/>
          <w:lang w:val="en-US" w:eastAsia="zh-CN"/>
        </w:rPr>
        <w:t>解决方案思路</w:t>
      </w:r>
    </w:p>
    <w:p w14:paraId="6E462075">
      <w:pPr>
        <w:spacing w:line="36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面对上述困境，我们提出了“智能诊断、自动生成、持续治理”三位一体的AI驱动解决方案，旨在将合规从一项昂贵、迟缓、易错的人工劳动，转变为高效、精准、可管理的数字化进程。</w:t>
      </w:r>
    </w:p>
    <w:p w14:paraId="51954F10">
      <w:pPr>
        <w:spacing w:line="36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三、解决方案：AI驱动的合规导航、提效与治理</w:t>
      </w:r>
    </w:p>
    <w:p w14:paraId="2C170B96">
      <w:pPr>
        <w:spacing w:line="36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我们将AI定位为破解企业数据跨境合规困境的“核心引擎”，围绕“精准导航、智能提效、持续治理”三大核心环节，构建贯穿合规全流程的自动化解决方案，旨在系统性降低企业合规门槛、时间成本与操作风险。</w:t>
      </w:r>
    </w:p>
    <w:p w14:paraId="01B00D81">
      <w:pPr>
        <w:spacing w:line="36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首先，在合规路径的起点，我们通过AI智能导航，破解“身份与数据性质误判”这一根本性难题。 合规失败常始于第一步的方向性错误。针对企业难以自行判断是否属于“关键信息基础设施运营者”（CIIO）、所涉数据是否为“重要数据”，或境外接收方是否触及美国14117号行政令中宽泛的“被覆盖的人”等核心问题，传统人工研判效率低下且结论模糊。我们的平台基于腾讯元器构建的多法域合规规则引擎与知识图谱，将复杂的法律条文转化为动态的、可交互的决策逻辑。通过引导式问卷，系统能模拟专业顾问的追问逻辑，引导用户厘清业务场景、数据流、接收方背景等关键事实。在此基础上，AI不仅进行规则匹配，更能调用得理法搜等接口，关联检索相关行业指南、判例及监管口径，辅助进行穿透式分析与推理，最终为企业输出清晰的合规路径建议与高风险预警。这确保了企业在复杂的规则迷宫中，从一开始就能踏上正确的路径，避免因基础事实认定错误而导致后续所有工作推倒重来。</w:t>
      </w:r>
    </w:p>
    <w:p w14:paraId="74D8E3AB">
      <w:pPr>
        <w:spacing w:line="36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其次，在合规材料的制备核心环节，我们通过AI自动化生成与嵌入式审查，将漫长的申报周期压缩，并显著提升文书质量与通过率。 无论选择哪条合规路径，准备《数据出境风险自评估报告》、《个人信息保护影响评估报告》（PIA）或欧盟的《数据传输影响评估》（TIA）等文件，都是耗时数周、需要法务、合规、技术多方协同的重度脑力劳动。我们的平台深度整合了专业大模型的自然语言生成与结构化分析能力。用户只需按照系统引导，输入或上传业务背景、数据处理流程、安全措施等描述性信息，AI便能基于对全球各法域官方报告模板与编制要点的深刻理解，自动生成逻辑严谨、内容全面、格式规范的报告草案。更重要的是，生成过程即是审查过程。系统会实时对照《个人信息保护法》第三十八条的“确需”要求，校验“出境必要性”论证是否充分；会提示用户核查第三十九条“告知-取得单独同意”义务的履行证据；在生成欧盟TIA时，能嵌入对数据传输目的地国法律的初步评估。这种“撰写即质检”的模式，旨在帮助企业产出接近“开箱即用”的高质量材料，最大化减少因材料瑕疵导致的监管问询与漫长补正，从根本上控制合规项目的时间成本。</w:t>
      </w:r>
    </w:p>
    <w:p w14:paraId="7C6BDE1A">
      <w:pPr>
        <w:spacing w:line="36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最后，在合规的持续性管理层面，我们通过AI驱动的文档智能审查，将合规从“一次性项目”升级为“常态化治理”，构建主动防御体系。 合规义务并非随着一份报告的提交而终结。企业的《隐私政策》、《数据处理协议》（DPA）及已签署的跨境《标准合同》等法律文件，必须随着法规更新与业务变化而持续维护。我们的平台扮演着“全天候合规审计员”的角色。用户可上传现有法律文本，AI将对条款进行深度解析，与最新的法规库（如中国更新的标准合同范本、欧盟法院判例、美国监管细则）进行比对，精准定位过期条款、缺失项或与法定最低要求不符的风险点。例如，自动审查合同中的数据接收方安全保障义务是否满足《个人信息出境标准合同办法》的全部要求，或分析现有协议是否完整涵盖了欧盟新版标准合同条款（SCCs）的关键附件。通过提供具体的修订建议与增补文本，AI帮助企业将合规能力深度内化到日常运营与合同管理流程中，实现前瞻性风险防控，构建起稳固、动态、可持续的数据跨境治理框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4BFA97C4">
      <w:pPr>
        <w:pStyle w:val="2"/>
        <w:keepNext w:val="0"/>
        <w:keepLines w:val="0"/>
        <w:pageBreakBefore w:val="0"/>
        <w:widowControl w:val="0"/>
        <w:kinsoku/>
        <w:wordWrap w:val="0"/>
        <w:overflowPunct/>
        <w:topLinePunct w:val="0"/>
        <w:bidi w:val="0"/>
        <w:adjustRightInd/>
        <w:snapToGrid w:val="0"/>
        <w:textAlignment w:val="auto"/>
        <w:rPr>
          <w:rFonts w:hint="default" w:eastAsia="宋体"/>
          <w:lang w:val="en-US" w:eastAsia="zh-CN"/>
        </w:rPr>
      </w:pPr>
      <w:r>
        <w:rPr>
          <w:rStyle w:val="5"/>
        </w:rPr>
        <w:footnoteRef/>
      </w:r>
      <w:r>
        <w:t xml:space="preserve"> </w:t>
      </w:r>
      <w:r>
        <w:rPr>
          <w:rFonts w:hint="eastAsia"/>
        </w:rPr>
        <w:t>公安网安部门依法查处迪奥（上海）公司未依法履行个人信息保护义务案</w:t>
      </w:r>
      <w:r>
        <w:rPr>
          <w:rFonts w:hint="eastAsia"/>
          <w:lang w:eastAsia="zh-CN"/>
        </w:rPr>
        <w:t>，沪公静（网）行罚决字[2025]10003号,https://gaj.sh.gov.cn/jaga/xzcf/toDetail?pa=a23e7d1d9cab592f7cb65c52f4cb5f1aba763022165fc1856dbfcf6073b6454093b3644cc24fc46a，</w:t>
      </w:r>
      <w:r>
        <w:rPr>
          <w:rFonts w:hint="eastAsia"/>
          <w:lang w:val="en-US" w:eastAsia="zh-CN"/>
        </w:rPr>
        <w:t>2026年3月访问。</w:t>
      </w:r>
    </w:p>
  </w:footnote>
  <w:footnote w:id="1">
    <w:p w14:paraId="789AF6D9">
      <w:pPr>
        <w:pStyle w:val="2"/>
        <w:keepNext w:val="0"/>
        <w:keepLines w:val="0"/>
        <w:pageBreakBefore w:val="0"/>
        <w:widowControl w:val="0"/>
        <w:kinsoku/>
        <w:wordWrap w:val="0"/>
        <w:overflowPunct/>
        <w:topLinePunct w:val="0"/>
        <w:bidi w:val="0"/>
        <w:adjustRightInd/>
        <w:snapToGrid w:val="0"/>
        <w:textAlignment w:val="auto"/>
        <w:rPr>
          <w:rFonts w:hint="default" w:eastAsia="宋体"/>
          <w:lang w:val="en-US" w:eastAsia="zh-CN"/>
        </w:rPr>
      </w:pPr>
      <w:r>
        <w:rPr>
          <w:rStyle w:val="5"/>
        </w:rPr>
        <w:footnoteRef/>
      </w:r>
      <w:r>
        <w:rPr>
          <w:rFonts w:hint="eastAsia"/>
          <w:lang w:val="en-US" w:eastAsia="zh-CN"/>
        </w:rPr>
        <w:t xml:space="preserve"> Irish Data Protection Commission：Irish Data Protection Commission fines TikTok €530 million and orders corrective measures following Inquiry into transfers of EEA User Data to China，爱尔兰数据保护委员会 DPC 官方公告，2025年5月2日，</w:t>
      </w:r>
      <w:r>
        <w:t xml:space="preserve"> </w:t>
      </w:r>
      <w:r>
        <w:rPr>
          <w:rFonts w:hint="eastAsia"/>
        </w:rPr>
        <w:t>https://www.dataprotection.ie/en/news-media/latest-news/irish-data-protection-commission-fines-tiktok-eu530-million-and-orders-corrective-measures-following</w:t>
      </w:r>
      <w:r>
        <w:rPr>
          <w:rFonts w:hint="eastAsia"/>
          <w:lang w:eastAsia="zh-CN"/>
        </w:rPr>
        <w:t>，</w:t>
      </w:r>
      <w:r>
        <w:rPr>
          <w:rFonts w:hint="eastAsia"/>
          <w:lang w:val="en-US" w:eastAsia="zh-CN"/>
        </w:rPr>
        <w:t>2026年4月3日访问。</w:t>
      </w:r>
    </w:p>
  </w:footnote>
  <w:footnote w:id="2">
    <w:p w14:paraId="72FCBED7">
      <w:pPr>
        <w:pStyle w:val="2"/>
        <w:snapToGrid w:val="0"/>
        <w:rPr>
          <w:rFonts w:hint="default" w:eastAsia="宋体"/>
          <w:lang w:val="en-US" w:eastAsia="zh-CN"/>
        </w:rPr>
      </w:pPr>
      <w:r>
        <w:rPr>
          <w:rStyle w:val="5"/>
        </w:rPr>
        <w:footnoteRef/>
      </w:r>
      <w:r>
        <w:t xml:space="preserve"> </w:t>
      </w:r>
      <w:r>
        <w:rPr>
          <w:rFonts w:hint="eastAsia"/>
          <w:lang w:val="en-US" w:eastAsia="zh-CN"/>
        </w:rPr>
        <w:t>南方都市报：</w:t>
      </w:r>
      <w:r>
        <w:rPr>
          <w:rFonts w:hint="eastAsia"/>
        </w:rPr>
        <w:t>《&lt;促进和规范数据跨境流动规定&gt;一周年，7个“更”读懂成效》</w:t>
      </w:r>
      <w:r>
        <w:rPr>
          <w:rFonts w:hint="eastAsia"/>
          <w:lang w:eastAsia="zh-CN"/>
        </w:rPr>
        <w:t>，</w:t>
      </w:r>
      <w:r>
        <w:rPr>
          <w:rFonts w:hint="eastAsia"/>
          <w:lang w:val="en-US" w:eastAsia="zh-CN"/>
        </w:rPr>
        <w:t>2025年3月21日，</w:t>
      </w:r>
      <w:r>
        <w:rPr>
          <w:rFonts w:hint="eastAsia"/>
        </w:rPr>
        <w:t>https://news.qq.com/rain/a/20250321A08H9600</w:t>
      </w:r>
      <w:r>
        <w:rPr>
          <w:rFonts w:hint="eastAsia"/>
          <w:lang w:eastAsia="zh-CN"/>
        </w:rPr>
        <w:t>，</w:t>
      </w:r>
      <w:r>
        <w:rPr>
          <w:rFonts w:hint="eastAsia"/>
          <w:lang w:val="en-US" w:eastAsia="zh-CN"/>
        </w:rPr>
        <w:t>2026年4月3日访问。</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265B8"/>
    <w:rsid w:val="33A66377"/>
    <w:rsid w:val="4D4F1B47"/>
    <w:rsid w:val="57A265B8"/>
    <w:rsid w:val="72AE0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4"/>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rPr>
  </w:style>
  <w:style w:type="character" w:styleId="5">
    <w:name w:val="footnote reference"/>
    <w:basedOn w:val="4"/>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2026-04-03T10:50:00Z</dcterms:created>
  <dc:creator>wsc</dc:creator>
  <cp:lastModifiedBy>wsc</cp:lastModifiedBy>
  <dcterms:modified xsi:type="dcterms:W3CDTF">2026-04-03T13:58:01Z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3A1659822F7B4222864DF20F59BF79DE_11</vt:lpwstr>
  </property>
  <property fmtid="{D5CDD505-2E9C-101B-9397-08002B2CF9AE}" pid="4" name="KSOTemplateDocerSaveRecord">
    <vt:lpwstr>eyJoZGlkIjoiOTY4YTkwNTY5OTI0N2RmNzMxMjdhZTgzZTQ0ZjY3MTUiLCJ1c2VySWQiOiI2NzM3NjQxNDMifQ==</vt:lpwstr>
  </property>
</Properties>
</file>