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40" w:lineRule="auto"/>
        <w:jc w:val="center"/>
      </w:pPr>
      <w:r>
        <w:rPr>
          <w:rFonts w:ascii="Times New Roman" w:hAnsi="Times New Roman" w:cs="Times New Roman" w:eastAsia="Times New Roman"/>
          <w:b/>
          <w:i w:val="0"/>
          <w:sz w:val="20"/>
        </w:rPr>
        <w:t>III. METHODOLOGY</w:t>
      </w:r>
    </w:p>
    <w:p>
      <w:pPr>
        <w:pStyle w:val="Heading2"/>
        <w:spacing w:before="120" w:after="60" w:line="240" w:lineRule="auto"/>
        <w:jc w:val="left"/>
      </w:pPr>
      <w:r>
        <w:rPr>
          <w:rFonts w:ascii="Times New Roman" w:hAnsi="Times New Roman" w:cs="Times New Roman" w:eastAsia="Times New Roman"/>
          <w:b/>
          <w:i/>
          <w:sz w:val="20"/>
        </w:rPr>
        <w:t>E. Physical-Domain Feature Engineering</w:t>
      </w:r>
    </w:p>
    <w:p>
      <w:pPr>
        <w:spacing w:before="0" w:after="0" w:line="240" w:lineRule="auto"/>
        <w:ind w:firstLine="720"/>
        <w:jc w:val="both"/>
      </w:pPr>
      <w:r>
        <w:rPr>
          <w:rFonts w:ascii="Times New Roman" w:hAnsi="Times New Roman" w:cs="Times New Roman" w:eastAsia="Times New Roman"/>
          <w:b w:val="0"/>
          <w:i w:val="0"/>
          <w:sz w:val="20"/>
        </w:rPr>
        <w:t>Để làm phong phú tập dữ liệu với các đại lượng điện năng mang tính vật lý, hai biến phái sinh quan trọng — Công suất biểu kiến (S) và Góc lệch pha (φ) — được tính toán từ các biến đo công suất thô. Những đặc trưng này giúp phơi bày các chế độ vận hành bất thường mà công suất tác dụng (P) đơn thuần không thể phát hiện, chẳng hạn như hiện tượng kẹt rô-to hoặc rò rỉ cách điện tiến triển, từ đó cung cấp các chỉ báo hữu ích cho mô hình dự báo tải và phân loại rủi ro.</w:t>
      </w:r>
    </w:p>
    <w:p>
      <w:pPr>
        <w:spacing w:before="60" w:after="60" w:line="240" w:lineRule="auto"/>
        <w:jc w:val="left"/>
      </w:pPr>
      <w:r>
        <w:rPr>
          <w:rFonts w:ascii="Times New Roman" w:hAnsi="Times New Roman" w:cs="Times New Roman" w:eastAsia="Times New Roman"/>
          <w:b/>
          <w:i w:val="0"/>
        </w:rPr>
        <w:t>1) Công suất biểu kiến (S):</w:t>
      </w:r>
    </w:p>
    <w:p>
      <w:pPr>
        <w:spacing w:before="0" w:after="0" w:line="240" w:lineRule="auto"/>
        <w:ind w:firstLine="720"/>
        <w:jc w:val="both"/>
      </w:pPr>
      <w:r>
        <w:rPr>
          <w:rFonts w:ascii="Times New Roman" w:hAnsi="Times New Roman" w:cs="Times New Roman" w:eastAsia="Times New Roman"/>
          <w:b w:val="0"/>
          <w:i w:val="0"/>
          <w:sz w:val="20"/>
        </w:rPr>
        <w:t>Công suất biểu kiến là độ lớn của công suất phức trong mạch điện xoay chiều. Đại lượng này quyết định giới hạn chịu tải nhiệt và cơ học của dây cáp, máy biến áp và thiết bị đóng cắt. Khi công suất tác dụng không đổi nhưng công suất phản kháng tăng (do kẹt rô-to hoặc bão hòa từ trình), S sẽ phình to — đây là tín hiệu cảnh báo quá dòng.</w:t>
      </w:r>
    </w:p>
    <w:p>
      <w:pPr>
        <w:spacing w:before="0" w:after="0" w:line="240" w:lineRule="auto"/>
        <w:ind w:firstLine="720"/>
        <w:jc w:val="both"/>
      </w:pPr>
      <w:r>
        <w:rPr>
          <w:rFonts w:ascii="Times New Roman" w:hAnsi="Times New Roman" w:cs="Times New Roman" w:eastAsia="Times New Roman"/>
          <w:b/>
          <w:i w:val="0"/>
          <w:sz w:val="20"/>
        </w:rPr>
        <w:t>Định nghĩa:</w:t>
      </w:r>
    </w:p>
    <w:p>
      <w:pPr>
        <w:tabs>
          <w:tab w:val="right" w:pos="8300"/>
        </w:tabs>
        <w:spacing w:after="120" w:before="0" w:line="240" w:lineRule="auto"/>
        <w:ind w:firstLine="0" w:left="0"/>
        <w:jc w:val="left"/>
      </w:pPr>
      <w:r>
        <w:rPr>
          <w:rFonts w:ascii="Times New Roman" w:hAnsi="Times New Roman" w:cs="Times New Roman" w:eastAsia="Times New Roman"/>
          <w:b w:val="0"/>
          <w:i w:val="0"/>
          <w:sz w:val="20"/>
        </w:rPr>
        <w:t>S = √(P² + Q²)</w:t>
      </w:r>
      <w:r>
        <w:tab/>
      </w:r>
      <w:r>
        <w:rPr>
          <w:rFonts w:ascii="Times New Roman" w:hAnsi="Times New Roman" w:cs="Times New Roman" w:eastAsia="Times New Roman"/>
          <w:b w:val="0"/>
          <w:i w:val="0"/>
          <w:sz w:val="20"/>
        </w:rPr>
        <w:t>(8)</w:t>
      </w:r>
    </w:p>
    <w:p>
      <w:pPr>
        <w:spacing w:before="0" w:after="0" w:line="240" w:lineRule="auto"/>
        <w:ind w:firstLine="720"/>
        <w:jc w:val="both"/>
      </w:pPr>
      <w:r>
        <w:rPr>
          <w:rFonts w:ascii="Times New Roman" w:hAnsi="Times New Roman" w:cs="Times New Roman" w:eastAsia="Times New Roman"/>
          <w:b w:val="0"/>
          <w:i w:val="0"/>
          <w:sz w:val="20"/>
        </w:rPr>
        <w:t>trong đó P = Usage_kWh là công suất tác dụng (kW), và Q = Lagging_Current_Reactive.Power_kVarh là công suất phản kháng trễ (kVar).</w:t>
      </w:r>
    </w:p>
    <w:p>
      <w:pPr>
        <w:spacing w:before="60" w:after="60" w:line="240" w:lineRule="auto"/>
        <w:jc w:val="left"/>
      </w:pPr>
      <w:r>
        <w:rPr>
          <w:rFonts w:ascii="Times New Roman" w:hAnsi="Times New Roman" w:cs="Times New Roman" w:eastAsia="Times New Roman"/>
          <w:b/>
          <w:i w:val="0"/>
        </w:rPr>
        <w:t>2) Góc lệch pha (φ):</w:t>
      </w:r>
    </w:p>
    <w:p>
      <w:pPr>
        <w:spacing w:before="0" w:after="0" w:line="240" w:lineRule="auto"/>
        <w:ind w:firstLine="720"/>
        <w:jc w:val="both"/>
      </w:pPr>
      <w:r>
        <w:rPr>
          <w:rFonts w:ascii="Times New Roman" w:hAnsi="Times New Roman" w:cs="Times New Roman" w:eastAsia="Times New Roman"/>
          <w:b w:val="0"/>
          <w:i w:val="0"/>
          <w:sz w:val="20"/>
        </w:rPr>
        <w:t>Góc lệch pha định lượng độ dịch thờii gian giữa sóng điện áp và dòng điện. Đại lượng này cung cấp thang đo tuyến tính sắc nét hơn Hệ số công suất (PF), đặc biệt khi phụ tải trở nên phi tuyến hoặc mang tính cảm kháng cao.</w:t>
      </w:r>
    </w:p>
    <w:p>
      <w:pPr>
        <w:spacing w:before="0" w:after="0" w:line="240" w:lineRule="auto"/>
        <w:ind w:firstLine="720"/>
        <w:jc w:val="both"/>
      </w:pPr>
      <w:r>
        <w:rPr>
          <w:rFonts w:ascii="Times New Roman" w:hAnsi="Times New Roman" w:cs="Times New Roman" w:eastAsia="Times New Roman"/>
          <w:b/>
          <w:i w:val="0"/>
          <w:sz w:val="20"/>
        </w:rPr>
        <w:t>Định nghĩa:</w:t>
      </w:r>
    </w:p>
    <w:p>
      <w:pPr>
        <w:tabs>
          <w:tab w:val="right" w:pos="8300"/>
        </w:tabs>
        <w:spacing w:after="120" w:before="0" w:line="240" w:lineRule="auto"/>
        <w:ind w:firstLine="0" w:left="0"/>
        <w:jc w:val="left"/>
      </w:pPr>
      <w:r>
        <w:rPr>
          <w:rFonts w:ascii="Times New Roman" w:hAnsi="Times New Roman" w:cs="Times New Roman" w:eastAsia="Times New Roman"/>
          <w:b w:val="0"/>
          <w:i w:val="0"/>
          <w:sz w:val="20"/>
        </w:rPr>
        <w:t>φ = arccos(PF)</w:t>
      </w:r>
      <w:r>
        <w:tab/>
      </w:r>
      <w:r>
        <w:rPr>
          <w:rFonts w:ascii="Times New Roman" w:hAnsi="Times New Roman" w:cs="Times New Roman" w:eastAsia="Times New Roman"/>
          <w:b w:val="0"/>
          <w:i w:val="0"/>
          <w:sz w:val="20"/>
        </w:rPr>
        <w:t>(9)</w:t>
      </w:r>
    </w:p>
    <w:p>
      <w:pPr>
        <w:spacing w:before="0" w:after="0" w:line="240" w:lineRule="auto"/>
        <w:ind w:firstLine="720"/>
        <w:jc w:val="both"/>
      </w:pPr>
      <w:r>
        <w:rPr>
          <w:rFonts w:ascii="Times New Roman" w:hAnsi="Times New Roman" w:cs="Times New Roman" w:eastAsia="Times New Roman"/>
          <w:b w:val="0"/>
          <w:i w:val="0"/>
          <w:sz w:val="20"/>
        </w:rPr>
        <w:t>trong đó PF = Lagging_Current_Power_Factor được giới hạn trong khoảng [0, 1] trước khi áp dụng hàm arccos nhằm đảm bảo tính ổn định số học. Kết quả φ được biểu diễn bằng radian.</w:t>
      </w:r>
    </w:p>
    <w:p>
      <w:pPr>
        <w:spacing w:before="60" w:after="60" w:line="240" w:lineRule="auto"/>
        <w:jc w:val="center"/>
      </w:pPr>
      <w:r>
        <w:rPr>
          <w:rFonts w:ascii="Times New Roman" w:hAnsi="Times New Roman" w:cs="Times New Roman" w:eastAsia="Times New Roman"/>
          <w:b/>
          <w:i w:val="0"/>
          <w:sz w:val="16"/>
        </w:rPr>
        <w:t>TABLE I</w:t>
      </w:r>
      <w:r>
        <w:rPr>
          <w:rFonts w:ascii="Times New Roman" w:hAnsi="Times New Roman" w:cs="Times New Roman" w:eastAsia="Times New Roman"/>
          <w:b w:val="0"/>
          <w:i w:val="0"/>
          <w:sz w:val="16"/>
        </w:rPr>
        <w:t xml:space="preserve">  CÁC ĐẶC TRƯNG MIỀN VẬT LÝ</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cs="Times New Roman" w:eastAsia="Times New Roman"/>
                <w:b/>
                <w:i w:val="0"/>
                <w:sz w:val="20"/>
              </w:rPr>
              <w:t>Đặc trưng</w:t>
            </w:r>
          </w:p>
        </w:tc>
        <w:tc>
          <w:tcPr>
            <w:tcW w:type="dxa" w:w="1872"/>
          </w:tcPr>
          <w:p>
            <w:pPr>
              <w:jc w:val="center"/>
            </w:pPr>
            <w:r>
              <w:rPr>
                <w:rFonts w:ascii="Times New Roman" w:hAnsi="Times New Roman" w:cs="Times New Roman" w:eastAsia="Times New Roman"/>
                <w:b/>
                <w:i w:val="0"/>
                <w:sz w:val="20"/>
              </w:rPr>
              <w:t>Ký hiệu</w:t>
            </w:r>
          </w:p>
        </w:tc>
        <w:tc>
          <w:tcPr>
            <w:tcW w:type="dxa" w:w="1872"/>
          </w:tcPr>
          <w:p>
            <w:pPr>
              <w:jc w:val="center"/>
            </w:pPr>
            <w:r>
              <w:rPr>
                <w:rFonts w:ascii="Times New Roman" w:hAnsi="Times New Roman" w:cs="Times New Roman" w:eastAsia="Times New Roman"/>
                <w:b/>
                <w:i w:val="0"/>
                <w:sz w:val="20"/>
              </w:rPr>
              <w:t>Công thức</w:t>
            </w:r>
          </w:p>
        </w:tc>
        <w:tc>
          <w:tcPr>
            <w:tcW w:type="dxa" w:w="1872"/>
          </w:tcPr>
          <w:p>
            <w:pPr>
              <w:jc w:val="center"/>
            </w:pPr>
            <w:r>
              <w:rPr>
                <w:rFonts w:ascii="Times New Roman" w:hAnsi="Times New Roman" w:cs="Times New Roman" w:eastAsia="Times New Roman"/>
                <w:b/>
                <w:i w:val="0"/>
                <w:sz w:val="20"/>
              </w:rPr>
              <w:t>Đơn vị</w:t>
            </w:r>
          </w:p>
        </w:tc>
        <w:tc>
          <w:tcPr>
            <w:tcW w:type="dxa" w:w="1872"/>
          </w:tcPr>
          <w:p>
            <w:pPr>
              <w:jc w:val="center"/>
            </w:pPr>
            <w:r>
              <w:rPr>
                <w:rFonts w:ascii="Times New Roman" w:hAnsi="Times New Roman" w:cs="Times New Roman" w:eastAsia="Times New Roman"/>
                <w:b/>
                <w:i w:val="0"/>
                <w:sz w:val="20"/>
              </w:rPr>
              <w:t>Ý nghĩa vật lý</w:t>
            </w:r>
          </w:p>
        </w:tc>
      </w:tr>
      <w:tr>
        <w:tc>
          <w:tcPr>
            <w:tcW w:type="dxa" w:w="1872"/>
          </w:tcPr>
          <w:p>
            <w:pPr>
              <w:jc w:val="center"/>
            </w:pPr>
            <w:r>
              <w:rPr>
                <w:rFonts w:ascii="Times New Roman" w:hAnsi="Times New Roman" w:cs="Times New Roman" w:eastAsia="Times New Roman"/>
                <w:b w:val="0"/>
                <w:i w:val="0"/>
                <w:sz w:val="20"/>
              </w:rPr>
              <w:t>Công suất biểu kiến</w:t>
            </w:r>
          </w:p>
        </w:tc>
        <w:tc>
          <w:tcPr>
            <w:tcW w:type="dxa" w:w="1872"/>
          </w:tcPr>
          <w:p>
            <w:pPr>
              <w:jc w:val="center"/>
            </w:pPr>
            <w:r>
              <w:rPr>
                <w:rFonts w:ascii="Times New Roman" w:hAnsi="Times New Roman" w:cs="Times New Roman" w:eastAsia="Times New Roman"/>
                <w:b w:val="0"/>
                <w:i w:val="0"/>
                <w:sz w:val="20"/>
              </w:rPr>
              <w:t>S</w:t>
            </w:r>
          </w:p>
        </w:tc>
        <w:tc>
          <w:tcPr>
            <w:tcW w:type="dxa" w:w="1872"/>
          </w:tcPr>
          <w:p>
            <w:pPr>
              <w:jc w:val="center"/>
            </w:pPr>
            <w:r>
              <w:rPr>
                <w:rFonts w:ascii="Times New Roman" w:hAnsi="Times New Roman" w:cs="Times New Roman" w:eastAsia="Times New Roman"/>
                <w:b w:val="0"/>
                <w:i w:val="0"/>
                <w:sz w:val="20"/>
              </w:rPr>
              <w:t>√(P² + Q²)</w:t>
            </w:r>
          </w:p>
        </w:tc>
        <w:tc>
          <w:tcPr>
            <w:tcW w:type="dxa" w:w="1872"/>
          </w:tcPr>
          <w:p>
            <w:pPr>
              <w:jc w:val="center"/>
            </w:pPr>
            <w:r>
              <w:rPr>
                <w:rFonts w:ascii="Times New Roman" w:hAnsi="Times New Roman" w:cs="Times New Roman" w:eastAsia="Times New Roman"/>
                <w:b w:val="0"/>
                <w:i w:val="0"/>
                <w:sz w:val="20"/>
              </w:rPr>
              <w:t>kVA</w:t>
            </w:r>
          </w:p>
        </w:tc>
        <w:tc>
          <w:tcPr>
            <w:tcW w:type="dxa" w:w="1872"/>
          </w:tcPr>
          <w:p>
            <w:pPr>
              <w:jc w:val="center"/>
            </w:pPr>
            <w:r>
              <w:rPr>
                <w:rFonts w:ascii="Times New Roman" w:hAnsi="Times New Roman" w:cs="Times New Roman" w:eastAsia="Times New Roman"/>
                <w:b w:val="0"/>
                <w:i w:val="0"/>
                <w:sz w:val="20"/>
              </w:rPr>
              <w:t>Tổng công suất đặt lên hệ thống truyền tải; cảnh báo quá tải sớm.</w:t>
            </w:r>
          </w:p>
        </w:tc>
      </w:tr>
      <w:tr>
        <w:tc>
          <w:tcPr>
            <w:tcW w:type="dxa" w:w="1872"/>
          </w:tcPr>
          <w:p>
            <w:pPr>
              <w:jc w:val="center"/>
            </w:pPr>
            <w:r>
              <w:rPr>
                <w:rFonts w:ascii="Times New Roman" w:hAnsi="Times New Roman" w:cs="Times New Roman" w:eastAsia="Times New Roman"/>
                <w:b w:val="0"/>
                <w:i w:val="0"/>
                <w:sz w:val="20"/>
              </w:rPr>
              <w:t>Góc lệch pha</w:t>
            </w:r>
          </w:p>
        </w:tc>
        <w:tc>
          <w:tcPr>
            <w:tcW w:type="dxa" w:w="1872"/>
          </w:tcPr>
          <w:p>
            <w:pPr>
              <w:jc w:val="center"/>
            </w:pPr>
            <w:r>
              <w:rPr>
                <w:rFonts w:ascii="Times New Roman" w:hAnsi="Times New Roman" w:cs="Times New Roman" w:eastAsia="Times New Roman"/>
                <w:b w:val="0"/>
                <w:i w:val="0"/>
                <w:sz w:val="20"/>
              </w:rPr>
              <w:t>φ</w:t>
            </w:r>
          </w:p>
        </w:tc>
        <w:tc>
          <w:tcPr>
            <w:tcW w:type="dxa" w:w="1872"/>
          </w:tcPr>
          <w:p>
            <w:pPr>
              <w:jc w:val="center"/>
            </w:pPr>
            <w:r>
              <w:rPr>
                <w:rFonts w:ascii="Times New Roman" w:hAnsi="Times New Roman" w:cs="Times New Roman" w:eastAsia="Times New Roman"/>
                <w:b w:val="0"/>
                <w:i w:val="0"/>
                <w:sz w:val="20"/>
              </w:rPr>
              <w:t>arccos(PF)</w:t>
            </w:r>
          </w:p>
        </w:tc>
        <w:tc>
          <w:tcPr>
            <w:tcW w:type="dxa" w:w="1872"/>
          </w:tcPr>
          <w:p>
            <w:pPr>
              <w:jc w:val="center"/>
            </w:pPr>
            <w:r>
              <w:rPr>
                <w:rFonts w:ascii="Times New Roman" w:hAnsi="Times New Roman" w:cs="Times New Roman" w:eastAsia="Times New Roman"/>
                <w:b w:val="0"/>
                <w:i w:val="0"/>
                <w:sz w:val="20"/>
              </w:rPr>
              <w:t>rad</w:t>
            </w:r>
          </w:p>
        </w:tc>
        <w:tc>
          <w:tcPr>
            <w:tcW w:type="dxa" w:w="1872"/>
          </w:tcPr>
          <w:p>
            <w:pPr>
              <w:jc w:val="center"/>
            </w:pPr>
            <w:r>
              <w:rPr>
                <w:rFonts w:ascii="Times New Roman" w:hAnsi="Times New Roman" w:cs="Times New Roman" w:eastAsia="Times New Roman"/>
                <w:b w:val="0"/>
                <w:i w:val="0"/>
                <w:sz w:val="20"/>
              </w:rPr>
              <w:t>Thang đo tuyến tính cho tính phi tuyến của phụ tải; phân biệt rõ hơn PF gần 1.</w:t>
            </w:r>
          </w:p>
        </w:tc>
      </w:tr>
    </w:tbl>
    <w:p>
      <w:pPr>
        <w:spacing w:after="120"/>
      </w:pPr>
    </w:p>
    <w:p>
      <w:pPr>
        <w:spacing w:before="0" w:after="0" w:line="240" w:lineRule="auto"/>
        <w:ind w:firstLine="720"/>
        <w:jc w:val="both"/>
      </w:pPr>
      <w:r>
        <w:rPr>
          <w:rFonts w:ascii="Times New Roman" w:hAnsi="Times New Roman" w:cs="Times New Roman" w:eastAsia="Times New Roman"/>
          <w:b/>
          <w:i w:val="0"/>
          <w:sz w:val="20"/>
        </w:rPr>
        <w:t>Giải thích vật lý và ứng dụng:</w:t>
      </w:r>
    </w:p>
    <w:p>
      <w:pPr>
        <w:spacing w:before="0" w:after="0" w:line="240" w:lineRule="auto"/>
        <w:ind w:firstLine="720"/>
        <w:jc w:val="both"/>
      </w:pPr>
      <w:r>
        <w:rPr>
          <w:rFonts w:ascii="Times New Roman" w:hAnsi="Times New Roman" w:cs="Times New Roman" w:eastAsia="Times New Roman"/>
          <w:b w:val="0"/>
          <w:i w:val="0"/>
          <w:sz w:val="20"/>
        </w:rPr>
        <w:t>Trong bối cảnh nhà máy thép, cả S và φ đóng vai trò chỉ báo nhạy với bất thường. Sự gia tăng đồng thờii của S kèm theo φ tăng nhanh thường báo hiệu quá tải cảm kháng hoặc hỏng hóc cách điện. Ngược lại, S tăng trong khi φ ổn định có thể chỉ ra quá tải thuần trở. Bằng cách đưa các kênh phái sinh từ vật lý vào không gian đặc trưng, các mô hình dự báo và phân loại phía sau sẽ có thêm các giả thiết tiên nghiệm mà các đặc trưng thuần thống kê (trung bình trượt, năng lượng sóng) không thể cung cấp.</w:t>
      </w:r>
    </w:p>
    <w:p>
      <w:pPr>
        <w:spacing w:before="0" w:after="0" w:line="240" w:lineRule="auto"/>
        <w:ind w:firstLine="720"/>
        <w:jc w:val="both"/>
      </w:pPr>
      <w:r>
        <w:rPr>
          <w:rFonts w:ascii="Times New Roman" w:hAnsi="Times New Roman" w:cs="Times New Roman" w:eastAsia="Times New Roman"/>
          <w:b/>
          <w:i w:val="0"/>
          <w:sz w:val="20"/>
        </w:rPr>
        <w:t>Tích hợp với pipeline:</w:t>
      </w:r>
    </w:p>
    <w:p>
      <w:pPr>
        <w:spacing w:before="0" w:after="0" w:line="240" w:lineRule="auto"/>
        <w:ind w:firstLine="720"/>
        <w:jc w:val="both"/>
      </w:pPr>
      <w:r>
        <w:rPr>
          <w:rFonts w:ascii="Times New Roman" w:hAnsi="Times New Roman" w:cs="Times New Roman" w:eastAsia="Times New Roman"/>
          <w:b w:val="0"/>
          <w:i w:val="0"/>
          <w:sz w:val="20"/>
        </w:rPr>
        <w:t>Các đặc trưng vật lý được tính toán sau giai đoạn trích xuất miền thờii gian và miền tần số, và trước bước gán nhãn bất thường. Thứ tự này đảm bảo các quy tắc bất thường dựa trên vật lý (chạy không tải, rò rỉ, quá tải) có thể trực tiếp tham chiếu đến S và φ cùng với các biến công suất gốc.</w:t>
      </w:r>
    </w:p>
    <w:sectPr w:rsidR="00FC693F" w:rsidRPr="0006063C" w:rsidSect="00034616">
      <w:pgSz w:w="12240" w:h="15840"/>
      <w:pgMar w:top="1440" w:right="1440" w:bottom="1440" w:left="144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