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A5CA4" w14:textId="77777777" w:rsidR="00927DF4"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Báo Cáo Nghiên Cứu Chuyên Sâu: Kỹ Thuật Tiền Xử Lý Dữ Liệu Tiên Tiến Và Phát Hiện Bất Thường Trong Tiêu Thụ Năng Lượng Lưới Điện Công Nghiệp</w:t>
      </w:r>
    </w:p>
    <w:p w14:paraId="5730DEF6" w14:textId="77777777" w:rsidR="00927DF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Bối Cảnh Hệ Thống Năng Lượng Công Nghiệp Và Kỷ Nguyên Trí Tuệ Nhân Tạo Tập Trung Vào Dữ Liệu</w:t>
      </w:r>
    </w:p>
    <w:p w14:paraId="08E665FA"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Ngành công nghiệp luyện kim và sản xuất thép toàn cầu hiện đang chiếm khoảng 7% đến 9% tổng lượng tiêu thụ năng lượng trực tiếp và phát thải khí nhà kính trên toàn thế giới.</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Trong cấu trúc chi phí vận hành của một nhà máy thép tích hợp, năng lượng thường chiếm từ 20% đến 40% tổng chi phí sản xuất, chỉ đứng sau nguyên vật liệu thô.</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Sự phụ thuộc khổng lồ này đặt ra một mệnh lệnh kinh tế và môi trường gay gắt: các nhà điều hành phải chuyển đổi từ việc xem năng lượng như một chi phí cố định sang việc quản lý nó như một biến số quy trình có thể kiểm soát linh hoạt theo thời gian thực.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Một ví dụ điển hình cho sự lãng phí tĩnh lặng nhưng tàn khốc là trường hợp một lò hồ quang điện 150 tấn tiêu thụ 420 kWh cho mỗi tấn thép thay vì mức tối ưu thiết kế là 360 kWh, chỉ vì một van điều tiết khí thải bị trôi lệch dần trong ba tuần mà không kích hoạt bất kỳ cảnh báo an toàn nào.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Sự cố này có thể âm thầm bòn rút hàng triệu đô la mỗi năm. Do đó, việc xây dựng các hệ thống phát hiện bất thường (Anomaly Detection) trong lưới điện nội bộ không chỉ là một bài toán kỹ thuật mà còn là cốt lõi của chiến lược sinh lời và khử carbon.</w:t>
      </w:r>
      <w:r>
        <w:rPr>
          <w:rFonts w:ascii="Google Sans" w:eastAsia="Google Sans" w:hAnsi="Google Sans" w:cs="Google Sans"/>
          <w:color w:val="444746"/>
          <w:sz w:val="24"/>
          <w:szCs w:val="24"/>
          <w:vertAlign w:val="superscript"/>
        </w:rPr>
        <w:t>1</w:t>
      </w:r>
    </w:p>
    <w:p w14:paraId="09E2DCCC"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Trong lịch sử phát triển của trí tuệ nhân tạo và khai phá dữ liệu, phần lớn các nỗ lực nghiên cứu thường tập trung vào việc tinh chỉnh và phức tạp hóa kiến trúc mô hình thuật toán, một trào lưu được gọi là Trí tuệ Nhân tạo Tập trung vào Mô hình (Model-Centric AI).</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Các nhà khoa học dữ liệu dành vô số thời gian để điều chỉnh siêu tham số, thiết kế các mạng nơ-ron sâu hoặc kết hợp các mô hình học máy theo dạng tập hợp (ensemble). Tuy nhiên, một sự chuyển dịch mô hình mang tính bước ngoặt đang diễn ra, hướng tới Trí tuệ Nhân tạo Tập trung vào Dữ liệu (Data-Centric AI).</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Kỷ nguyên mới này lập luận rằng chất lượng, độ biểu diễn và tính phong phú của bộ dữ liệu đầu vào đóng vai trò quyết định hơn nhiều so với bản thân thuật toán. Thực tiễn cho thấy các kỹ thuật tiền xử lý dữ liệu và kéo rút đặc trưng (Feature Engineering) có thể cải thiện độ chính xác và khả năng tổng quát hóa của hệ thống dự đoán một cách mạnh mẽ, vượt trội hơn hẳn so với việc áp dụng các mô hình học sâu phức tạp trên dữ liệu thô.</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Đối với một dự án dữ liệu sinh viên nhằm hướng tới mức độ xuất sắc (capstone level), việc nhận thức sâu sắc và ứng dụng triết lý Data-Centric AI là kim chỉ nam để tạo ra sự khác biệt.</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Khi bộ dữ liệu không </w:t>
      </w:r>
      <w:r>
        <w:rPr>
          <w:rFonts w:ascii="Google Sans" w:eastAsia="Google Sans" w:hAnsi="Google Sans" w:cs="Google Sans"/>
          <w:color w:val="1F1F1F"/>
        </w:rPr>
        <w:lastRenderedPageBreak/>
        <w:t>yêu cầu thu thập thủ công và không chứa giá trị khuyết thiếu, áp lực sáng tạo được chuyển hoàn toàn sang khả năng biến đổi dữ liệu, kiến tạo đặc trưng và tối ưu hóa không gian biểu diễn tín hiệu.</w:t>
      </w:r>
    </w:p>
    <w:p w14:paraId="5F3D41B1" w14:textId="77777777" w:rsidR="00927DF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Khảo Sát Không Gian Dữ Liệu Và Ý Nghĩa Vật Lý Của Tập Dữ Liệu Tiêu Thụ Năng Lượng Ngành Thép</w:t>
      </w:r>
    </w:p>
    <w:p w14:paraId="4C0E1D5C"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Tập dữ liệu "Steel Industry Energy Consumption" được thu thập trực tiếp từ cơ sở sản xuất quy mô nhỏ thông minh của Công ty TNHH Thép DAEWOO tại Gwangyang, Hàn Quốc.</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Toàn bộ dữ liệu điện năng tiêu thụ được quản lý thông qua một hệ thống đám mây kết nối với Tập đoàn Điện lực Hàn Quốc (KEPCO), đảm bảo độ tin cậy và tính liền mạch của các phép đo.</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Bộ dữ liệu cung cấp một kho tàng thông tin đa biến (multivariate) dạng chuỗi thời gian liên tục với tổng cộng 35.040 điểm quan sát, được ghi nhận với độ phân giải thời gian là 15 phút một lần trong suốt một năm trọn vẹn.</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Đặc tính đáng chú ý nhất của bộ dữ liệu này là sự hoàn hảo về mặt cấu trúc: hoàn toàn không tồn tại các giá trị khuyết thiếu (missing values).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Trong bối cảnh học thuật, một bộ dữ liệu quá sạch thường tạo ra cạm bẫy "ảo tưởng sự đơn giản", khiến các nhóm nghiên cứu dễ dàng lướt qua giai đoạn tiền xử lý để tiến thẳng vào việc huấn luyện mô hình. Tuy nhiên, một dự án đạt chuẩn xuất sắc phải nhìn thấu qua sự trơn tru bề mặt này để khai thác cấu trúc động lực học phức tạp ẩn giấu bên trong các biến số điện năng.</w:t>
      </w:r>
    </w:p>
    <w:p w14:paraId="54892824"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Để hiểu rõ dữ liệu, cần phải phân tích ý nghĩa vật lý và thống kê của từng biến số được cung cấp. Bảng dưới đây tóm tắt các đặc trưng lõi cùng với bản chất của chúng trong ngữ cảnh truyền tải điện.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27DF4" w14:paraId="676CC32D"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5BF20"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Tên Biến Số Trong Tập Dữ Liệu</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12047F"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Loại Biến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14335C2"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Đơn Vị Đo Lường</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A72211A"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Giải Nghĩa Bản Chất Vật Lý Và Vai Trò Trong Lưới Điện</w:t>
            </w:r>
          </w:p>
        </w:tc>
      </w:tr>
      <w:tr w:rsidR="00927DF4" w14:paraId="7EA9EBFA"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88824B"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date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9FB5521"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Thời gian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9FDC3AF"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Không</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748CB3E"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Mốc thời gian liên tục của từng bản ghi, cốt lõi để phân tích chuỗi thời gian.</w:t>
            </w:r>
          </w:p>
        </w:tc>
      </w:tr>
      <w:tr w:rsidR="00927DF4" w14:paraId="130E1C8C"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CEC995"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Usage_kWh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3184B65"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Liên tục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113B9B"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kWh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E2881F3"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Công suất tác dụng (Active Power) tiêu thụ trong 15 phút. Đây là năng lượng thực sự tạo ra công hữu ích (sinh nhiệt, quay động cơ).</w:t>
            </w:r>
          </w:p>
        </w:tc>
      </w:tr>
      <w:tr w:rsidR="00927DF4" w14:paraId="41C8B47C"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69F576"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Lagging_Current_Reactive.Power_kVarh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FA7819"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Liên tục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9DE34D2"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kVarh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C9D18AE"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Công suất phản kháng trễ pha. Đặc trưng cho các tải cảm kháng như động cơ điện từ, máy biến áp. Sự gia tăng bất thường chỉ ra động cơ phải bù từ trường quá mức.</w:t>
            </w:r>
          </w:p>
        </w:tc>
      </w:tr>
      <w:tr w:rsidR="00927DF4" w14:paraId="5B7224C4"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C0DAC1"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Leading_Current_Reactive_Power_kVarh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094F28F"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Liên tục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D2A26A0"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kVarh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5189753"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Công suất phản kháng vượt pha. Thường sinh ra do hệ thống tụ bù tĩnh hoặc tải dung kháng. Phản ánh tình trạng dư thừa bù công suất.</w:t>
            </w:r>
          </w:p>
        </w:tc>
      </w:tr>
      <w:tr w:rsidR="00927DF4" w14:paraId="22A3F370"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4F95655"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CO2(</w:t>
            </w:r>
            <w:proofErr w:type="gramEnd"/>
            <w:r>
              <w:rPr>
                <w:rFonts w:ascii="Google Sans" w:eastAsia="Google Sans" w:hAnsi="Google Sans" w:cs="Google Sans"/>
                <w:color w:val="1F1F1F"/>
              </w:rPr>
              <w:t>tCO2)</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71E0A2"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Liên tục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C373F4"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ppm</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0442DF6"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Mật độ phát thải khí Carbon Dioxide tương ứng với lượng điện năng tiêu thụ. Tỷ lệ thuận với công suất tác dụng nhưng chịu ảnh hưởng của hiệu suất </w:t>
            </w:r>
            <w:r>
              <w:rPr>
                <w:rFonts w:ascii="Google Sans" w:eastAsia="Google Sans" w:hAnsi="Google Sans" w:cs="Google Sans"/>
                <w:color w:val="1F1F1F"/>
              </w:rPr>
              <w:lastRenderedPageBreak/>
              <w:t>đốt.</w:t>
            </w:r>
          </w:p>
        </w:tc>
      </w:tr>
      <w:tr w:rsidR="00927DF4" w14:paraId="4AC785FF"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6BEC497"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Lagging_Current_Power_Factor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889179"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Liên tục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541A6C7"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2A7CF47"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Hệ số công suất trễ. Tỷ lệ giữa công suất tác dụng và công suất biểu kiến. Hệ số này càng thấp (dưới 90%), dòng điện càng hao phí nhiều để tạo từ trường.</w:t>
            </w:r>
          </w:p>
        </w:tc>
      </w:tr>
      <w:tr w:rsidR="00927DF4" w14:paraId="02C2BD38"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6C721C"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Leading_Current_Power_Factor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627A48"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Liên tục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6F9FB64"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F2DFFFF"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Hệ số công suất vượt. Phản ánh mức độ hiệu quả của dòng điện khi bị ảnh hưởng bởi tải dung kháng.</w:t>
            </w:r>
          </w:p>
        </w:tc>
      </w:tr>
      <w:tr w:rsidR="00927DF4" w14:paraId="52EBDDFE"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3E1D02F"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NSM</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8FC4F75"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Số nguyên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80DE56"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Giây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4DE6595"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Số giây tính từ nửa đêm (Number of Seconds from Midnight). Phản ánh tính chu kỳ theo ngày (từ 0 đến 86.400).</w:t>
            </w:r>
          </w:p>
        </w:tc>
      </w:tr>
      <w:tr w:rsidR="00927DF4" w14:paraId="30D61AF7"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DB04373"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WeekStatus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E185504"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Phân loại</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8243CE"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Nhị phân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E702F5E"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Trạng thái ngày trong tuần (1) hoặc cuối tuần (0). Phân tách chu kỳ sản xuất cao điểm và thời gian nghỉ dưỡng của nhà máy.</w:t>
            </w:r>
          </w:p>
        </w:tc>
      </w:tr>
      <w:tr w:rsidR="00927DF4" w14:paraId="0918FEA9"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D54C46"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Day_of_week</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1DBEB67"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Phân loại</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E29D51"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Thứ</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CBA1087"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Ngày cụ thể từ Chủ Nhật đến Thứ Bảy. Cung cấp độ chi tiết lịch trình sinh hoạt công nghiệp cao hơn.</w:t>
            </w:r>
          </w:p>
        </w:tc>
      </w:tr>
      <w:tr w:rsidR="00927DF4" w14:paraId="5524916A"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EEE575D"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Load_Type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89A4694"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Phân loại</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19273A9"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Cột mốc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A6BD058"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Nhãn cường độ tải trọng: Tải nhẹ (Light Load), Tải trung bình (Medium Load), Tải tối đa (Maximum Load). Đóng vai trò là thông tin ngữ cảnh cốt lõi.</w:t>
            </w:r>
          </w:p>
        </w:tc>
      </w:tr>
    </w:tbl>
    <w:p w14:paraId="76EB7A5A" w14:textId="77777777" w:rsidR="00927DF4" w:rsidRDefault="00000000">
      <w:pPr>
        <w:pBdr>
          <w:top w:val="nil"/>
          <w:left w:val="nil"/>
          <w:bottom w:val="nil"/>
          <w:right w:val="nil"/>
          <w:between w:val="nil"/>
        </w:pBdr>
        <w:spacing w:before="48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Sự phân chia chi tiết giữa công suất tác dụng (Usage_kWh) và hai loại công suất phản kháng (Lagging và Leading) là một tài sản vô giá.</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Trong công nghiệp thép, nơi sử dụng hàng loạt các lò hồ quang điện, động cơ cán cỡ lớn và hệ thống máy nén khí hạng nặng, công suất phản kháng dao động rất dữ dội.</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Việc chỉ quan sát công suất tác dụng sẽ che khuất đi một nửa bức tranh về tình trạng sức khỏe của lưới điện nội bộ. Một nhà khoa học dữ liệu hiểu biết về lĩnh vực kỹ thuật điện sẽ coi các biến số kVarh và % (Hệ số công suất) không chỉ là các đặc trưng độc lập, mà là các mảnh ghép của một phương trình năng lượng thống nhất.</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Đặc biệt, nhãn phân loại Load_Type (Light, Medium, Maximum) cung cấp một lợi thế to lớn để định hình không gian bình thường (normal profile) của thiết bị ở từng chế độ vận hành.</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Dựa trên những nhãn này, bài toán phát hiện bất thường không giám sát (unsupervised anomaly detection) có thể được chuyển hóa thành bài toán phát hiện bất thường theo ngữ cảnh (contextual anomaly detection), mở ra một phương pháp tiếp cận tinh vi hơn rất nhiều.</w:t>
      </w:r>
      <w:r>
        <w:rPr>
          <w:rFonts w:ascii="Google Sans" w:eastAsia="Google Sans" w:hAnsi="Google Sans" w:cs="Google Sans"/>
          <w:color w:val="444746"/>
          <w:sz w:val="24"/>
          <w:szCs w:val="24"/>
          <w:vertAlign w:val="superscript"/>
        </w:rPr>
        <w:t>16</w:t>
      </w:r>
    </w:p>
    <w:p w14:paraId="42C1CFA6" w14:textId="77777777" w:rsidR="00927DF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Giải Phẫu Cơ Chế Vật Lý Và Ánh Xạ Dấu Hiệu Bất Thường Trên Chuỗi Thời Gian Điện Năng</w:t>
      </w:r>
    </w:p>
    <w:p w14:paraId="2047DE03"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Khái niệm "bất thường" trong khoa học dữ liệu thường bị đơn giản hóa thành các điểm nằm ngoài phổ phân phối thống kê.</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Tuy nhiên, trong môi trường công nghiệp nhạy cảm như nhà máy luyện kim, việc phát hiện bất thường đòi hỏi sự ánh xạ trực tiếp từ các nguyên lý nhiệt động lực học và cơ điện tử vào trong ma trận dữ liệu.</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Để một đồ án đạt đến chuẩn mực </w:t>
      </w:r>
      <w:r>
        <w:rPr>
          <w:rFonts w:ascii="Google Sans" w:eastAsia="Google Sans" w:hAnsi="Google Sans" w:cs="Google Sans"/>
          <w:color w:val="1F1F1F"/>
        </w:rPr>
        <w:lastRenderedPageBreak/>
        <w:t>chuyên sâu, việc định nghĩa các khái niệm lãng phí tĩnh (idling), rò rỉ (leakage), và quá tải (overload) phải vượt ra ngoài các ranh giới độ lệch chuẩn đơn thuần, đi sâu vào mối tương tác giữa các biến số thời gian và tải trọng điện.</w:t>
      </w:r>
      <w:r>
        <w:rPr>
          <w:rFonts w:ascii="Google Sans" w:eastAsia="Google Sans" w:hAnsi="Google Sans" w:cs="Google Sans"/>
          <w:color w:val="444746"/>
          <w:sz w:val="24"/>
          <w:szCs w:val="24"/>
          <w:vertAlign w:val="superscript"/>
        </w:rPr>
        <w:t>18</w:t>
      </w:r>
    </w:p>
    <w:p w14:paraId="001CD03E" w14:textId="77777777" w:rsidR="00927DF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Hiện Tượng Chạy Không Tải Kéo Dài (Idling / Energy Waste)</w:t>
      </w:r>
    </w:p>
    <w:p w14:paraId="6C6D8202"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Trong quản trị năng lượng nhà máy, lãng phí do chạy không tải diễn ra khi máy móc, băng chuyền, máy bơm hoặc hệ thống làm mát không tham gia trực tiếp vào việc sản xuất nhưng vẫn tiêu thụ điện năng duy trì.</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Trong nhiều trường hợp, sự thiếu đồng bộ của hệ thống SCADA (Supervisory Control and Data Acquisition) hoặc quy trình bảo trì lỏng lẻo khiến thiết bị bị bỏ quên ở trạng thái chờ tiêu tốn hàng nghìn kWh mỗi dịp cuối tuần.</w:t>
      </w:r>
      <w:r>
        <w:rPr>
          <w:rFonts w:ascii="Google Sans" w:eastAsia="Google Sans" w:hAnsi="Google Sans" w:cs="Google Sans"/>
          <w:color w:val="444746"/>
          <w:sz w:val="24"/>
          <w:szCs w:val="24"/>
          <w:vertAlign w:val="superscript"/>
        </w:rPr>
        <w:t>18</w:t>
      </w:r>
    </w:p>
    <w:p w14:paraId="40217C5E"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Để lập mô hình hiện tượng Idling trên tập dữ liệu Daewoo Steel, cần xem xét mối tương quan chéo giữa biến Load_Type, WeekStatus, và Usage_kWh.</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Trạng thái chạy không tải có đặc trưng là mức công suất tác dụng tạo thành một dải nền (baseline) tĩnh lặng, thiếu các đỉnh nhọn đặc trưng của chu kỳ dập hoặc cán thép. Về mặt dữ liệu, bất thường này được ánh xạ khi biến Load_Type ghi nhận trạng thái "Light Load" (đặc biệt trong các dải NSM tương ứng với ban đêm hoặc khi WeekStatus bằng 0 chỉ định ngày cuối tuần), nhưng Usage_kWh lại duy trì ở một ngưỡng trung bình cao thay vì tiệm cận mức không.</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Hơn thế nữa, động cơ chạy không tải (underloaded motor) thường có hiệu suất điện cực kỳ kém, dẫn đến hiện tượng hệ số công suất trễ (Lagging_Current_Power_Factor) tụt dốc thảm hại, có thể rơi xuống dưới 50%.</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Việc kết hợp phát hiện một đường tiêu thụ điện năng phẳng khác thường đi kèm với hệ số công suất thấp trong thời gian đáng lẽ phải nghỉ ngơi chính là định nghĩa toán học của hiện tượng Idling trong bài toán này.</w:t>
      </w:r>
    </w:p>
    <w:p w14:paraId="5FACEAC1" w14:textId="77777777" w:rsidR="00927DF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Sự Trôi Dạt Tiêu Thụ Và Rò Rỉ Năng Lượng (Energy Leakage &amp; Concept Drift)</w:t>
      </w:r>
    </w:p>
    <w:p w14:paraId="07B6C855"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Rò rỉ trong lưới điện công nghiệp không nhất thiết là sự đoản mạch tạo ra tia lửa, mà thường là sự suy thoái hiệu suất từ từ của các cơ cấu cơ khí, tĩnh mạch thủy lực, hoặc rò rỉ áp suất khí nén khiến động cơ bù tải liên tục.</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Loại sự cố này thuộc về nhóm bất thường chuỗi (sequence anomalies) hoặc sự trôi dạt khái niệm (concept drift) tĩnh lặng trong dài hạn, vô cùng khó phát hiện bằng các ngưỡng giới hạn cứng (hard thresholds).</w:t>
      </w:r>
      <w:r>
        <w:rPr>
          <w:rFonts w:ascii="Google Sans" w:eastAsia="Google Sans" w:hAnsi="Google Sans" w:cs="Google Sans"/>
          <w:color w:val="444746"/>
          <w:sz w:val="24"/>
          <w:szCs w:val="24"/>
          <w:vertAlign w:val="superscript"/>
        </w:rPr>
        <w:t>22</w:t>
      </w:r>
    </w:p>
    <w:p w14:paraId="0A300CAB"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Ánh xạ hiện tượng rò rỉ lên chuỗi thời gian yêu cầu quan sát sự biến thiên vi mô qua nhiều chu kỳ vận hành. Rò rỉ sẽ được thể hiện qua sự gia tăng tiệm tiến của giá trị trung bình Usage_kWh trong các khoảng thời gian có điều kiện vận hành tương đồng (cùng một mức NSM và cùng cấu hình Load_Type qua nhiều tuần liên tiếp).</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Khi một vòng bi bị khô mỡ hoặc van khí bị hở, máy nén sẽ phải rút thêm dòng điện từ lưới để duy trì cùng một công suất đầu ra. Hệ quả là Usage_kWh nhích dần lên qua mỗi ngày, tạo ra một đường xu hướng đi lên vi tế dưới lớp nhiễu của sản xuất thường nhật. Kỹ thuật nhận diện ở đây bắt buộc phải áp dụng các cửa sổ thời gian </w:t>
      </w:r>
      <w:r>
        <w:rPr>
          <w:rFonts w:ascii="Google Sans" w:eastAsia="Google Sans" w:hAnsi="Google Sans" w:cs="Google Sans"/>
          <w:color w:val="1F1F1F"/>
        </w:rPr>
        <w:lastRenderedPageBreak/>
        <w:t>trượt độ trễ dài (long-lag rolling windows) nhằm triệt tiêu nhiễu dao động và làm bộc lộ sự sai lệch của đường trung bình trượt so với định mức được phê duyệt ban đầu.</w:t>
      </w:r>
      <w:r>
        <w:rPr>
          <w:rFonts w:ascii="Google Sans" w:eastAsia="Google Sans" w:hAnsi="Google Sans" w:cs="Google Sans"/>
          <w:color w:val="444746"/>
          <w:sz w:val="24"/>
          <w:szCs w:val="24"/>
          <w:vertAlign w:val="superscript"/>
        </w:rPr>
        <w:t>23</w:t>
      </w:r>
    </w:p>
    <w:p w14:paraId="7062C0E7" w14:textId="77777777" w:rsidR="00927DF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Xung Đột Biên Độ Lớn Và Quá Tải Cục Bộ (Local Overload &amp; Extreme Point Anomalies)</w:t>
      </w:r>
    </w:p>
    <w:p w14:paraId="178F5462"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Quá tải cục bộ diễn ra khi cường độ dòng điện đi qua một thiết bị hoặc một nhánh lưới điện vượt quá công suất thiết kế danh định, gây ra hiện tượng sinh nhiệt Joule đột biến, sụt áp mạng lưới và đe dọa trực tiếp đến tuổi thọ của cách điện.</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Quá tải cục bộ thường kéo theo hệ lụy làm giảm chất lượng điện năng của toàn bộ xí nghiệp luyện kim, dẫn đến mức phạt vi phạm công suất rất nặng từ các công ty điện lực.</w:t>
      </w:r>
      <w:r>
        <w:rPr>
          <w:rFonts w:ascii="Google Sans" w:eastAsia="Google Sans" w:hAnsi="Google Sans" w:cs="Google Sans"/>
          <w:color w:val="444746"/>
          <w:sz w:val="24"/>
          <w:szCs w:val="24"/>
          <w:vertAlign w:val="superscript"/>
        </w:rPr>
        <w:t>21</w:t>
      </w:r>
    </w:p>
    <w:p w14:paraId="70A4EDD1"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Dấu hiệu của quá tải cục bộ trên bộ dữ liệu là các điểm ngoại lai biên độ lớn (Point Anomalies). Khi Load_Type chuyển sang trạng thái "Maximum Load", mức năng lượng tổng thể tăng lên là hợp lý, nhưng quá tải xảy ra khi Usage_kWh bứt phá qua các ranh giới phương sai chuẩn (chẳng hạn như vượt ra ngoài Khoảng tứ phân vị - Interquartile Range, hoặc giới hạn 3-Sigma).</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Điểm mấu chốt sâu sắc nhất để xác định quá tải là quan sát Công suất phản kháng (Lagging_Current_Reactive.Power_kVarh). Trong tình trạng quá tải, lõi từ của các máy biến áp hoặc động cơ tiến tới trạng thái bão hòa từ tính, làm cho dòng điện từ hóa tăng phi mã, kéo theo sự bùng nổ của công suất phản kháng và sự sụp đổ ngay lập tức của Hệ số công suất.</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Việc xây dựng mô hình thuật toán tìm kiếm sự đồng xuất hiện của xung Usage_kWh cực đại và sự sụt giảm hệ số công suất bất thường là minh chứng rõ rệt cho việc nhóm sinh viên đã làm chủ được đặc tính vận hành của dữ liệu điện.</w:t>
      </w:r>
    </w:p>
    <w:p w14:paraId="0244704D" w14:textId="77777777" w:rsidR="00927DF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Xây Dựng Khung Đường Ống Tiền Xử Lý Dữ Liệu Và Kỹ Thuật Đặc Trưng Tiên Tiến (Advanced Feature Engineering Pipeline)</w:t>
      </w:r>
    </w:p>
    <w:p w14:paraId="1694F9BD"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Sự chuyển hóa từ một đồ án thông thường thành một dự án nghiên cứu xuất sắc được đo lường bằng năng lực kỹ thuật đặc trưng (Feature Engineering).</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Vì dữ liệu đầu vào đã không có giá trị khuyết thiếu (no missing values), công việc tiền xử lý không chỉ dừng lại ở các thao tác làm sạch căn bản như loại bỏ trùng lặp hay thay đổi định dạng chuẩn. Thay vào đó, nhóm nghiên cứu phải tập trung tối đa vào việc nhúng các kiến thức chuyên ngành (domain knowledge) để biến các tín hiệu thô thành một siêu không gian đa chiều, nơi mà ranh giới phân tách giữa dữ liệu vận hành bình thường và sự cố bất thường trở nên rõ rệt đối với các thuật toán máy học.</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Đường ống này được cấu trúc qua ba không gian biến đổi chuyên sâu.</w:t>
      </w:r>
    </w:p>
    <w:p w14:paraId="6C3D913D" w14:textId="77777777" w:rsidR="00927DF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Phép Biến Đổi Không Gian Thời Gian Và Mã Hóa Thống Kê (Time-Domain and Statistical Encoding)</w:t>
      </w:r>
    </w:p>
    <w:p w14:paraId="10F9D03E" w14:textId="77777777" w:rsidR="00927DF4"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Đặc tính cốt lõi của tiêu thụ năng lượng là sự phụ thuộc chặt chẽ vào thời gian và tính chu kỳ lặp lại (seasonality). Các thuật toán học máy phi thời gian như Random Forest hay Isolation Forest không tự động hiểu được trật tự của các dòng dữ liệu.</w:t>
      </w:r>
      <w:r>
        <w:rPr>
          <w:rFonts w:ascii="Google Sans" w:eastAsia="Google Sans" w:hAnsi="Google Sans" w:cs="Google Sans"/>
          <w:color w:val="444746"/>
          <w:sz w:val="24"/>
          <w:szCs w:val="24"/>
          <w:vertAlign w:val="superscript"/>
        </w:rPr>
        <w:t>24</w:t>
      </w:r>
    </w:p>
    <w:p w14:paraId="5AB69065" w14:textId="77777777" w:rsidR="00927DF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Kiến tạo đặc trưng độ trễ (Lag Features Generation):</w:t>
      </w:r>
      <w:r>
        <w:rPr>
          <w:rFonts w:ascii="Google Sans" w:eastAsia="Google Sans" w:hAnsi="Google Sans" w:cs="Google Sans"/>
          <w:color w:val="1F1F1F"/>
        </w:rPr>
        <w:t xml:space="preserve"> Trạng thái tiêu thụ điện năng hiện tại luôn chịu ảnh hưởng từ quán tính cơ học của quá trình trước đó. Bằng việc xây dựng các biến trễ (lag variables), mô hình sẽ nắm bắt được vi phối cảnh của hệ thống. Nhóm cần tạo ra các cột dữ liệu mới trích xuất từ Usage_kWh với độ trễ </w:t>
      </w:r>
      <w:r>
        <w:rPr>
          <w:rFonts w:ascii="Google Sans" w:eastAsia="Google Sans" w:hAnsi="Google Sans" w:cs="Google Sans"/>
          <w:noProof/>
          <w:color w:val="1F1F1F"/>
        </w:rPr>
        <w:drawing>
          <wp:inline distT="19050" distB="19050" distL="19050" distR="19050" wp14:anchorId="092ED19E" wp14:editId="642C5FEE">
            <wp:extent cx="1875596" cy="236356"/>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1875596" cy="236356"/>
                    </a:xfrm>
                    <a:prstGeom prst="rect">
                      <a:avLst/>
                    </a:prstGeom>
                    <a:ln/>
                  </pic:spPr>
                </pic:pic>
              </a:graphicData>
            </a:graphic>
          </wp:inline>
        </w:drawing>
      </w:r>
      <w:r>
        <w:rPr>
          <w:rFonts w:ascii="Google Sans" w:eastAsia="Google Sans" w:hAnsi="Google Sans" w:cs="Google Sans"/>
          <w:color w:val="1F1F1F"/>
        </w:rPr>
        <w:t xml:space="preserve"> (tương ứng với thời gian trễ 15 phút, 30 phút, 1 giờ và 24 giờ trước đó).</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Sự bất đồng bộ nghiêm trọng giữa năng lượng tiêu thụ tại thời điểm </w:t>
      </w:r>
      <w:r>
        <w:rPr>
          <w:rFonts w:ascii="Google Sans" w:eastAsia="Google Sans" w:hAnsi="Google Sans" w:cs="Google Sans"/>
          <w:noProof/>
          <w:color w:val="1F1F1F"/>
        </w:rPr>
        <w:drawing>
          <wp:inline distT="19050" distB="19050" distL="19050" distR="19050" wp14:anchorId="15691CE2" wp14:editId="7C85C165">
            <wp:extent cx="66675" cy="258366"/>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6675" cy="258366"/>
                    </a:xfrm>
                    <a:prstGeom prst="rect">
                      <a:avLst/>
                    </a:prstGeom>
                    <a:ln/>
                  </pic:spPr>
                </pic:pic>
              </a:graphicData>
            </a:graphic>
          </wp:inline>
        </w:drawing>
      </w:r>
      <w:r>
        <w:rPr>
          <w:rFonts w:ascii="Google Sans" w:eastAsia="Google Sans" w:hAnsi="Google Sans" w:cs="Google Sans"/>
          <w:color w:val="1F1F1F"/>
        </w:rPr>
        <w:t xml:space="preserve"> và </w:t>
      </w:r>
      <w:r>
        <w:rPr>
          <w:rFonts w:ascii="Google Sans" w:eastAsia="Google Sans" w:hAnsi="Google Sans" w:cs="Google Sans"/>
          <w:noProof/>
          <w:color w:val="1F1F1F"/>
        </w:rPr>
        <w:drawing>
          <wp:inline distT="19050" distB="19050" distL="19050" distR="19050" wp14:anchorId="325941D8" wp14:editId="253FC294">
            <wp:extent cx="384334" cy="238287"/>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384334" cy="238287"/>
                    </a:xfrm>
                    <a:prstGeom prst="rect">
                      <a:avLst/>
                    </a:prstGeom>
                    <a:ln/>
                  </pic:spPr>
                </pic:pic>
              </a:graphicData>
            </a:graphic>
          </wp:inline>
        </w:drawing>
      </w:r>
      <w:r>
        <w:rPr>
          <w:rFonts w:ascii="Google Sans" w:eastAsia="Google Sans" w:hAnsi="Google Sans" w:cs="Google Sans"/>
          <w:color w:val="1F1F1F"/>
        </w:rPr>
        <w:t xml:space="preserve"> khi không có sự thay đổi nhãn Load_Type là tín hiệu chỉ điểm cực mạnh cho sự cố khởi động thiết bị lỗi hoặc chạm chập.</w:t>
      </w:r>
      <w:r>
        <w:rPr>
          <w:rFonts w:ascii="Google Sans" w:eastAsia="Google Sans" w:hAnsi="Google Sans" w:cs="Google Sans"/>
          <w:color w:val="444746"/>
          <w:sz w:val="24"/>
          <w:szCs w:val="24"/>
          <w:vertAlign w:val="superscript"/>
        </w:rPr>
        <w:t>24</w:t>
      </w:r>
    </w:p>
    <w:p w14:paraId="28CE6389" w14:textId="77777777" w:rsidR="00927DF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Thống kê cửa sổ trượt (Rolling Window Statistics):</w:t>
      </w:r>
      <w:r>
        <w:rPr>
          <w:rFonts w:ascii="Google Sans" w:eastAsia="Google Sans" w:hAnsi="Google Sans" w:cs="Google Sans"/>
          <w:color w:val="1F1F1F"/>
        </w:rPr>
        <w:t xml:space="preserve"> Để phát hiện các hiện tượng rò rỉ chậm hoặc sự cố mài mòn, việc làm mượt dữ liệu là bắt buộc. Nhóm nghiên cứu thiết kế các bộ lọc thống kê trượt tính toán giá trị trung bình di động (Rolling Mean), độ lệch chuẩn (Rolling Standard Deviation), và độ xiên (Skewness) trên các cửa sổ thời gian 6 giờ, 12 giờ và 24 giờ.</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Bất kỳ một hệ thống nào trước khi bị quá tải cục bộ đều có xu hướng dao động điện áp và dòng điện mạnh mẽ, khiến cho độ lệch chuẩn trượt tăng vọt trước khi sự cố vỡ lở.</w:t>
      </w:r>
    </w:p>
    <w:p w14:paraId="10CD4761" w14:textId="77777777" w:rsidR="00927DF4"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Mã hóa chu kỳ lượng giác (Trigonometric Temporal Encoding):</w:t>
      </w:r>
      <w:r>
        <w:rPr>
          <w:rFonts w:ascii="Google Sans" w:eastAsia="Google Sans" w:hAnsi="Google Sans" w:cs="Google Sans"/>
          <w:color w:val="1F1F1F"/>
        </w:rPr>
        <w:t xml:space="preserve"> Biến số NSM (Số giây từ nửa đêm) chạy từ 0 đến 86.400, sau đó khởi tạo lại.</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Một thuật toán cây quyết định sẽ hiểu lầm rằng giây thứ 86.399 khác biệt hoàn toàn với giây thứ 1, mặc dù chúng chỉ cách nhau 2 giây trong thực tế. Để duy trì tính liên tục chu kỳ, NSM phải được ánh xạ vào một không gian hình tròn thông qua phép biến đổi sin và cos </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r>
        <w:rPr>
          <w:color w:val="000000"/>
        </w:rPr>
        <w:br/>
      </w:r>
      <w:r>
        <w:rPr>
          <w:noProof/>
          <w:color w:val="000000"/>
        </w:rPr>
        <w:drawing>
          <wp:inline distT="19050" distB="19050" distL="19050" distR="19050" wp14:anchorId="1A1869B5" wp14:editId="359BF23D">
            <wp:extent cx="5905500" cy="620621"/>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05500" cy="620621"/>
                    </a:xfrm>
                    <a:prstGeom prst="rect">
                      <a:avLst/>
                    </a:prstGeom>
                    <a:ln/>
                  </pic:spPr>
                </pic:pic>
              </a:graphicData>
            </a:graphic>
          </wp:inline>
        </w:drawing>
      </w:r>
      <w:r>
        <w:rPr>
          <w:color w:val="000000"/>
        </w:rPr>
        <w:br/>
      </w:r>
      <w:r>
        <w:rPr>
          <w:noProof/>
          <w:color w:val="000000"/>
        </w:rPr>
        <w:drawing>
          <wp:inline distT="19050" distB="19050" distL="19050" distR="19050" wp14:anchorId="3AA8CB74" wp14:editId="7891EAF1">
            <wp:extent cx="5905500" cy="620621"/>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05500" cy="620621"/>
                    </a:xfrm>
                    <a:prstGeom prst="rect">
                      <a:avLst/>
                    </a:prstGeom>
                    <a:ln/>
                  </pic:spPr>
                </pic:pic>
              </a:graphicData>
            </a:graphic>
          </wp:inline>
        </w:drawing>
      </w:r>
      <w:r>
        <w:rPr>
          <w:color w:val="000000"/>
        </w:rPr>
        <w:br/>
      </w:r>
      <w:r>
        <w:rPr>
          <w:rFonts w:ascii="Google Sans" w:eastAsia="Google Sans" w:hAnsi="Google Sans" w:cs="Google Sans"/>
          <w:color w:val="1F1F1F"/>
        </w:rPr>
        <w:t>Kỹ thuật toán học đơn giản nhưng mạnh mẽ này đảm bảo rằng mô hình học máy duy trì được nhận thức đúng đắn về sự mượt mà của thời gian tuần hoàn.</w:t>
      </w:r>
      <w:r>
        <w:rPr>
          <w:rFonts w:ascii="Google Sans" w:eastAsia="Google Sans" w:hAnsi="Google Sans" w:cs="Google Sans"/>
          <w:color w:val="444746"/>
          <w:sz w:val="24"/>
          <w:szCs w:val="24"/>
          <w:vertAlign w:val="superscript"/>
        </w:rPr>
        <w:t>24</w:t>
      </w:r>
    </w:p>
    <w:p w14:paraId="2E380817" w14:textId="77777777" w:rsidR="00927DF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 Kỹ Thuật Biến Đổi Miền Tần Số: Điểm Nghẽn Giữa Fourier Và Wavelet</w:t>
      </w:r>
    </w:p>
    <w:p w14:paraId="369B2882" w14:textId="77777777" w:rsidR="00927DF4"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Phân tích tín hiệu học cho rằng bất kỳ chuỗi thời gian nào cũng là sự tổng hợp của các sóng dao động khác nhau. Việc đưa Usage_kWh từ miền thời gian sang miền tần số sẽ giúp chiết xuất các chu kỳ sản xuất ẩn.</w:t>
      </w:r>
      <w:r>
        <w:rPr>
          <w:rFonts w:ascii="Google Sans" w:eastAsia="Google Sans" w:hAnsi="Google Sans" w:cs="Google Sans"/>
          <w:color w:val="444746"/>
          <w:sz w:val="24"/>
          <w:szCs w:val="24"/>
          <w:vertAlign w:val="superscript"/>
        </w:rPr>
        <w:t>31</w:t>
      </w:r>
    </w:p>
    <w:p w14:paraId="796DC802" w14:textId="77777777" w:rsidR="00927DF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lastRenderedPageBreak/>
        <w:t>Phân rã biến đổi Fourier (Fast Fourier Transform - FFT):</w:t>
      </w:r>
      <w:r>
        <w:rPr>
          <w:rFonts w:ascii="Google Sans" w:eastAsia="Google Sans" w:hAnsi="Google Sans" w:cs="Google Sans"/>
          <w:color w:val="1F1F1F"/>
        </w:rPr>
        <w:t xml:space="preserve"> Phép biến đổi Fourier chia tách chuỗi dữ liệu năng lượng thành các tần số thành phần với biên độ tương ứng.</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Nó vô cùng hữu ích trong việc tìm ra chu kỳ nền tảng của nhà máy luyện thép (ví dụ: chu kỳ nấu chảy mỗi 45 phút). Tuy nhiên, FFT có một giới hạn nguyên thủy: nó chỉ cho biết </w:t>
      </w:r>
      <w:r>
        <w:rPr>
          <w:rFonts w:ascii="Google Sans" w:eastAsia="Google Sans" w:hAnsi="Google Sans" w:cs="Google Sans"/>
          <w:i/>
          <w:iCs/>
          <w:color w:val="1F1F1F"/>
        </w:rPr>
        <w:t>tần số nào tồn tại</w:t>
      </w:r>
      <w:r>
        <w:rPr>
          <w:rFonts w:ascii="Google Sans" w:eastAsia="Google Sans" w:hAnsi="Google Sans" w:cs="Google Sans"/>
          <w:color w:val="1F1F1F"/>
        </w:rPr>
        <w:t xml:space="preserve">, chứ không xác định được </w:t>
      </w:r>
      <w:r>
        <w:rPr>
          <w:rFonts w:ascii="Google Sans" w:eastAsia="Google Sans" w:hAnsi="Google Sans" w:cs="Google Sans"/>
          <w:i/>
          <w:iCs/>
          <w:color w:val="1F1F1F"/>
        </w:rPr>
        <w:t>thời điểm</w:t>
      </w:r>
      <w:r>
        <w:rPr>
          <w:rFonts w:ascii="Google Sans" w:eastAsia="Google Sans" w:hAnsi="Google Sans" w:cs="Google Sans"/>
          <w:color w:val="1F1F1F"/>
        </w:rPr>
        <w:t xml:space="preserve"> tần số đó xảy ra.</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Đối với bài toán phát hiện bất thường—nơi mà thời điểm xảy ra quá tải hay rò rỉ là yếu tố tiên quyết—FFT mất đi lợi thế định vị thời gian.</w:t>
      </w:r>
      <w:r>
        <w:rPr>
          <w:rFonts w:ascii="Google Sans" w:eastAsia="Google Sans" w:hAnsi="Google Sans" w:cs="Google Sans"/>
          <w:color w:val="444746"/>
          <w:sz w:val="24"/>
          <w:szCs w:val="24"/>
          <w:vertAlign w:val="superscript"/>
        </w:rPr>
        <w:t>34</w:t>
      </w:r>
    </w:p>
    <w:p w14:paraId="039EEB31" w14:textId="77777777" w:rsidR="00927DF4"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Phép biến đổi Wavelet (Discrete Wavelet Transform - DWT):</w:t>
      </w:r>
      <w:r>
        <w:rPr>
          <w:rFonts w:ascii="Google Sans" w:eastAsia="Google Sans" w:hAnsi="Google Sans" w:cs="Google Sans"/>
          <w:color w:val="1F1F1F"/>
        </w:rPr>
        <w:t xml:space="preserve"> Đây là ranh giới phân định một sinh viên giỏi và một nhà nghiên cứu xuất sắc. Phép biến đổi Wavelet khắc phục triệt để nhược điểm của Fourier bằng cách sử dụng các hàm sóng ngắn (wavelets) có khả năng co giãn và tịnh tiến, giúp định vị tín hiệu cả trong không gian tần số lẫn không gian thời gian.</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Bằng cách áp dụng DWT với họ hàm Daubechies (ví dụ: db4) hoặc Haar lên chuỗi Usage_kWh, tín hiệu sẽ được tách thành các hệ số xấp xỉ (Approximation Coefficients) mang thông tin xu hướng vĩ mô, và các hệ số chi tiết (Detail Coefficients) chứa đựng các dao động vi mô.</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Bất kỳ một tia lửa điện nào hoặc sự cố hỏng hóc máy nén đột ngột sẽ lập tức bị tóm gọn và khuếch đại trong các hệ số chi tiết của Wavelet, biến nó thành công cụ tối thượng để cô lập mọi dạng ngoại lai tần số cao.</w:t>
      </w:r>
      <w:r>
        <w:rPr>
          <w:rFonts w:ascii="Google Sans" w:eastAsia="Google Sans" w:hAnsi="Google Sans" w:cs="Google Sans"/>
          <w:color w:val="444746"/>
          <w:sz w:val="24"/>
          <w:szCs w:val="24"/>
          <w:vertAlign w:val="superscript"/>
        </w:rPr>
        <w:t>32</w:t>
      </w:r>
    </w:p>
    <w:p w14:paraId="02B17106" w14:textId="77777777" w:rsidR="00927DF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 Tái Cấu Trúc Đặc Trưng Vật Lý Điện Năng (Physical Domain Feature Extraction)</w:t>
      </w:r>
    </w:p>
    <w:p w14:paraId="6C49ABD3" w14:textId="77777777" w:rsidR="00927DF4"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Phần xuất sắc nhất của một quy trình tiền xử lý dữ liệu ngành điện là việc từ chối nhìn nhận dữ liệu chỉ như các con số vô hồn, mà phải coi chúng như các thực thể mang năng lượng vật lý.</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Tập dữ liệu Daewoo cung cấp sẵn Công suất tác dụng </w:t>
      </w:r>
      <w:r>
        <w:rPr>
          <w:rFonts w:ascii="Google Sans" w:eastAsia="Google Sans" w:hAnsi="Google Sans" w:cs="Google Sans"/>
          <w:noProof/>
          <w:color w:val="1F1F1F"/>
        </w:rPr>
        <w:drawing>
          <wp:inline distT="19050" distB="19050" distL="19050" distR="19050" wp14:anchorId="10EF1C89" wp14:editId="40266659">
            <wp:extent cx="144066" cy="248113"/>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4066" cy="248113"/>
                    </a:xfrm>
                    <a:prstGeom prst="rect">
                      <a:avLst/>
                    </a:prstGeom>
                    <a:ln/>
                  </pic:spPr>
                </pic:pic>
              </a:graphicData>
            </a:graphic>
          </wp:inline>
        </w:drawing>
      </w:r>
      <w:r>
        <w:rPr>
          <w:rFonts w:ascii="Google Sans" w:eastAsia="Google Sans" w:hAnsi="Google Sans" w:cs="Google Sans"/>
          <w:color w:val="1F1F1F"/>
        </w:rPr>
        <w:t xml:space="preserve"> (thông qua Usage_kWh) và Công suất phản kháng </w:t>
      </w:r>
      <w:r>
        <w:rPr>
          <w:rFonts w:ascii="Google Sans" w:eastAsia="Google Sans" w:hAnsi="Google Sans" w:cs="Google Sans"/>
          <w:noProof/>
          <w:color w:val="1F1F1F"/>
        </w:rPr>
        <w:drawing>
          <wp:inline distT="19050" distB="19050" distL="19050" distR="19050" wp14:anchorId="1C312F1D" wp14:editId="25E929A7">
            <wp:extent cx="145971" cy="251394"/>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5971" cy="251394"/>
                    </a:xfrm>
                    <a:prstGeom prst="rect">
                      <a:avLst/>
                    </a:prstGeom>
                    <a:ln/>
                  </pic:spPr>
                </pic:pic>
              </a:graphicData>
            </a:graphic>
          </wp:inline>
        </w:drawing>
      </w:r>
      <w:r>
        <w:rPr>
          <w:rFonts w:ascii="Google Sans" w:eastAsia="Google Sans" w:hAnsi="Google Sans" w:cs="Google Sans"/>
          <w:color w:val="1F1F1F"/>
        </w:rPr>
        <w:t xml:space="preserve"> (thông qua Lagging/Leading_Current_Reactive.Power_kVarh).</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Dựa trên nguyên lý Kỹ thuật Điện, công suất biểu kiến (</w:t>
      </w:r>
      <w:r>
        <w:rPr>
          <w:rFonts w:ascii="Google Sans" w:eastAsia="Google Sans" w:hAnsi="Google Sans" w:cs="Google Sans"/>
          <w:noProof/>
          <w:color w:val="1F1F1F"/>
        </w:rPr>
        <w:drawing>
          <wp:inline distT="19050" distB="19050" distL="19050" distR="19050" wp14:anchorId="7CEFB565" wp14:editId="130ED9B5">
            <wp:extent cx="123706" cy="23968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23706" cy="239680"/>
                    </a:xfrm>
                    <a:prstGeom prst="rect">
                      <a:avLst/>
                    </a:prstGeom>
                    <a:ln/>
                  </pic:spPr>
                </pic:pic>
              </a:graphicData>
            </a:graphic>
          </wp:inline>
        </w:drawing>
      </w:r>
      <w:r>
        <w:rPr>
          <w:rFonts w:ascii="Google Sans" w:eastAsia="Google Sans" w:hAnsi="Google Sans" w:cs="Google Sans"/>
          <w:color w:val="1F1F1F"/>
        </w:rPr>
        <w:t>) phải được tính toán và bổ sung vào ma trận dữ liệu.</w:t>
      </w:r>
      <w:r>
        <w:rPr>
          <w:rFonts w:ascii="Google Sans" w:eastAsia="Google Sans" w:hAnsi="Google Sans" w:cs="Google Sans"/>
          <w:color w:val="444746"/>
          <w:sz w:val="24"/>
          <w:szCs w:val="24"/>
          <w:vertAlign w:val="superscript"/>
        </w:rPr>
        <w:t>13</w:t>
      </w:r>
    </w:p>
    <w:p w14:paraId="6151A3C8" w14:textId="77777777" w:rsidR="00927DF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Khởi tạo biến Công suất biểu kiến (</w:t>
      </w:r>
      <w:r>
        <w:rPr>
          <w:rFonts w:ascii="Google Sans" w:eastAsia="Google Sans" w:hAnsi="Google Sans" w:cs="Google Sans"/>
          <w:b/>
          <w:bCs/>
          <w:noProof/>
          <w:color w:val="1F1F1F"/>
        </w:rPr>
        <w:drawing>
          <wp:inline distT="19050" distB="19050" distL="19050" distR="19050" wp14:anchorId="3BC2AB87" wp14:editId="363B2B6B">
            <wp:extent cx="123706" cy="23968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23706" cy="239680"/>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Công suất biểu kiến là toàn bộ lượng công suất được cung cấp cho một mạch điện phân xoay chiều, quyết định kích thước và khả năng chịu tải giới hạn của hệ thống truyền tải.</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Công thức toán học áp dụng để tạo cột đặc trưng mới là:</w:t>
      </w:r>
      <w:r>
        <w:rPr>
          <w:color w:val="000000"/>
        </w:rPr>
        <w:br/>
      </w:r>
      <w:r>
        <w:rPr>
          <w:noProof/>
          <w:color w:val="000000"/>
        </w:rPr>
        <w:drawing>
          <wp:inline distT="19050" distB="19050" distL="19050" distR="19050" wp14:anchorId="16FD6564" wp14:editId="122765AD">
            <wp:extent cx="5905500" cy="543843"/>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05500" cy="543843"/>
                    </a:xfrm>
                    <a:prstGeom prst="rect">
                      <a:avLst/>
                    </a:prstGeom>
                    <a:ln/>
                  </pic:spPr>
                </pic:pic>
              </a:graphicData>
            </a:graphic>
          </wp:inline>
        </w:drawing>
      </w:r>
      <w:r>
        <w:rPr>
          <w:color w:val="000000"/>
        </w:rPr>
        <w:br/>
      </w:r>
      <w:r>
        <w:rPr>
          <w:rFonts w:ascii="Google Sans" w:eastAsia="Google Sans" w:hAnsi="Google Sans" w:cs="Google Sans"/>
          <w:color w:val="1F1F1F"/>
        </w:rPr>
        <w:t xml:space="preserve">Sự hiện diện của biến </w:t>
      </w:r>
      <w:r>
        <w:rPr>
          <w:rFonts w:ascii="Google Sans" w:eastAsia="Google Sans" w:hAnsi="Google Sans" w:cs="Google Sans"/>
          <w:noProof/>
          <w:color w:val="1F1F1F"/>
        </w:rPr>
        <w:drawing>
          <wp:inline distT="19050" distB="19050" distL="19050" distR="19050" wp14:anchorId="0C74681B" wp14:editId="68CA8782">
            <wp:extent cx="123706" cy="23968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23706" cy="239680"/>
                    </a:xfrm>
                    <a:prstGeom prst="rect">
                      <a:avLst/>
                    </a:prstGeom>
                    <a:ln/>
                  </pic:spPr>
                </pic:pic>
              </a:graphicData>
            </a:graphic>
          </wp:inline>
        </w:drawing>
      </w:r>
      <w:r>
        <w:rPr>
          <w:rFonts w:ascii="Google Sans" w:eastAsia="Google Sans" w:hAnsi="Google Sans" w:cs="Google Sans"/>
          <w:color w:val="1F1F1F"/>
        </w:rPr>
        <w:t xml:space="preserve"> đóng vai trò trọng tâm trong việc dò tìm bất thường. Trong nhiều trường hợp, công suất tác dụng </w:t>
      </w:r>
      <w:r>
        <w:rPr>
          <w:rFonts w:ascii="Google Sans" w:eastAsia="Google Sans" w:hAnsi="Google Sans" w:cs="Google Sans"/>
          <w:noProof/>
          <w:color w:val="1F1F1F"/>
        </w:rPr>
        <w:drawing>
          <wp:inline distT="19050" distB="19050" distL="19050" distR="19050" wp14:anchorId="3CBD6CCE" wp14:editId="4A03E7DD">
            <wp:extent cx="144066" cy="24811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4066" cy="248113"/>
                    </a:xfrm>
                    <a:prstGeom prst="rect">
                      <a:avLst/>
                    </a:prstGeom>
                    <a:ln/>
                  </pic:spPr>
                </pic:pic>
              </a:graphicData>
            </a:graphic>
          </wp:inline>
        </w:drawing>
      </w:r>
      <w:r>
        <w:rPr>
          <w:rFonts w:ascii="Google Sans" w:eastAsia="Google Sans" w:hAnsi="Google Sans" w:cs="Google Sans"/>
          <w:color w:val="1F1F1F"/>
        </w:rPr>
        <w:t xml:space="preserve"> đo được ở một động cơ không đổi, nhưng động cơ bị </w:t>
      </w:r>
      <w:r>
        <w:rPr>
          <w:rFonts w:ascii="Google Sans" w:eastAsia="Google Sans" w:hAnsi="Google Sans" w:cs="Google Sans"/>
          <w:color w:val="1F1F1F"/>
        </w:rPr>
        <w:lastRenderedPageBreak/>
        <w:t xml:space="preserve">kẹt rô-to khiến công suất phản kháng </w:t>
      </w:r>
      <w:r>
        <w:rPr>
          <w:rFonts w:ascii="Google Sans" w:eastAsia="Google Sans" w:hAnsi="Google Sans" w:cs="Google Sans"/>
          <w:noProof/>
          <w:color w:val="1F1F1F"/>
        </w:rPr>
        <w:drawing>
          <wp:inline distT="19050" distB="19050" distL="19050" distR="19050" wp14:anchorId="12E2D8A3" wp14:editId="239DA668">
            <wp:extent cx="145971" cy="251394"/>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5971" cy="251394"/>
                    </a:xfrm>
                    <a:prstGeom prst="rect">
                      <a:avLst/>
                    </a:prstGeom>
                    <a:ln/>
                  </pic:spPr>
                </pic:pic>
              </a:graphicData>
            </a:graphic>
          </wp:inline>
        </w:drawing>
      </w:r>
      <w:r>
        <w:rPr>
          <w:rFonts w:ascii="Google Sans" w:eastAsia="Google Sans" w:hAnsi="Google Sans" w:cs="Google Sans"/>
          <w:color w:val="1F1F1F"/>
        </w:rPr>
        <w:t xml:space="preserve"> tăng vọt. Nếu thuật toán chỉ nhìn vào </w:t>
      </w:r>
      <w:r>
        <w:rPr>
          <w:rFonts w:ascii="Google Sans" w:eastAsia="Google Sans" w:hAnsi="Google Sans" w:cs="Google Sans"/>
          <w:noProof/>
          <w:color w:val="1F1F1F"/>
        </w:rPr>
        <w:drawing>
          <wp:inline distT="19050" distB="19050" distL="19050" distR="19050" wp14:anchorId="7205984E" wp14:editId="5BB0CED6">
            <wp:extent cx="144066" cy="248113"/>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4066" cy="248113"/>
                    </a:xfrm>
                    <a:prstGeom prst="rect">
                      <a:avLst/>
                    </a:prstGeom>
                    <a:ln/>
                  </pic:spPr>
                </pic:pic>
              </a:graphicData>
            </a:graphic>
          </wp:inline>
        </w:drawing>
      </w:r>
      <w:r>
        <w:rPr>
          <w:rFonts w:ascii="Google Sans" w:eastAsia="Google Sans" w:hAnsi="Google Sans" w:cs="Google Sans"/>
          <w:color w:val="1F1F1F"/>
        </w:rPr>
        <w:t xml:space="preserve">, nó sẽ báo hệ thống bình thường. Nhưng khi nhìn vào biến tổng hợp </w:t>
      </w:r>
      <w:r>
        <w:rPr>
          <w:rFonts w:ascii="Google Sans" w:eastAsia="Google Sans" w:hAnsi="Google Sans" w:cs="Google Sans"/>
          <w:noProof/>
          <w:color w:val="1F1F1F"/>
        </w:rPr>
        <w:drawing>
          <wp:inline distT="19050" distB="19050" distL="19050" distR="19050" wp14:anchorId="28FBD42A" wp14:editId="600722BA">
            <wp:extent cx="123706" cy="23968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23706" cy="239680"/>
                    </a:xfrm>
                    <a:prstGeom prst="rect">
                      <a:avLst/>
                    </a:prstGeom>
                    <a:ln/>
                  </pic:spPr>
                </pic:pic>
              </a:graphicData>
            </a:graphic>
          </wp:inline>
        </w:drawing>
      </w:r>
      <w:r>
        <w:rPr>
          <w:rFonts w:ascii="Google Sans" w:eastAsia="Google Sans" w:hAnsi="Google Sans" w:cs="Google Sans"/>
          <w:color w:val="1F1F1F"/>
        </w:rPr>
        <w:t>, thuật toán sẽ lập tức nhận diện một sự phình to cấu trúc năng lượng, từ đó báo động nguy cơ cháy nổ cáp điện.</w:t>
      </w:r>
      <w:r>
        <w:rPr>
          <w:rFonts w:ascii="Google Sans" w:eastAsia="Google Sans" w:hAnsi="Google Sans" w:cs="Google Sans"/>
          <w:color w:val="444746"/>
          <w:sz w:val="24"/>
          <w:szCs w:val="24"/>
          <w:vertAlign w:val="superscript"/>
        </w:rPr>
        <w:t>13</w:t>
      </w:r>
    </w:p>
    <w:p w14:paraId="1405103E" w14:textId="77777777" w:rsidR="00927DF4"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Trích xuất biến Góc lệch pha (</w:t>
      </w:r>
      <w:r>
        <w:rPr>
          <w:rFonts w:ascii="Google Sans" w:eastAsia="Google Sans" w:hAnsi="Google Sans" w:cs="Google Sans"/>
          <w:b/>
          <w:bCs/>
          <w:noProof/>
          <w:color w:val="1F1F1F"/>
        </w:rPr>
        <w:drawing>
          <wp:inline distT="19050" distB="19050" distL="19050" distR="19050" wp14:anchorId="0CCC20C0" wp14:editId="0E111DCD">
            <wp:extent cx="110014" cy="227362"/>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10014" cy="227362"/>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Mặc dù bộ dữ liệu đã có sẵn hệ số công suất (Power Factor), việc tính toán góc lệch pha cung cấp một thang đo tuyến tính sắc nét hơn để mô hình học máy bắt nhịp.</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Góc lệch pha được tính bằng:</w:t>
      </w:r>
      <w:r>
        <w:rPr>
          <w:color w:val="000000"/>
        </w:rPr>
        <w:br/>
      </w:r>
      <w:r>
        <w:rPr>
          <w:noProof/>
          <w:color w:val="000000"/>
        </w:rPr>
        <w:drawing>
          <wp:inline distT="19050" distB="19050" distL="19050" distR="19050" wp14:anchorId="41B0EFDA" wp14:editId="3BEE68BE">
            <wp:extent cx="5905500" cy="454269"/>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05500" cy="454269"/>
                    </a:xfrm>
                    <a:prstGeom prst="rect">
                      <a:avLst/>
                    </a:prstGeom>
                    <a:ln/>
                  </pic:spPr>
                </pic:pic>
              </a:graphicData>
            </a:graphic>
          </wp:inline>
        </w:drawing>
      </w:r>
      <w:r>
        <w:rPr>
          <w:color w:val="000000"/>
        </w:rPr>
        <w:br/>
      </w:r>
      <w:r>
        <w:rPr>
          <w:rFonts w:ascii="Google Sans" w:eastAsia="Google Sans" w:hAnsi="Google Sans" w:cs="Google Sans"/>
          <w:color w:val="1F1F1F"/>
        </w:rPr>
        <w:t>Đặc trưng này khi kết hợp cùng biên độ dòng điện sẽ tạo thành biểu đồ V-I (Voltage-Current trajectory) phản ánh chính xác trạng thái hài hòa hoặc hỗn loạn của phụ tải phi tuyến, làm rõ nét thêm biên giới của sự rò rỉ điện năng.</w:t>
      </w:r>
      <w:r>
        <w:rPr>
          <w:rFonts w:ascii="Google Sans" w:eastAsia="Google Sans" w:hAnsi="Google Sans" w:cs="Google Sans"/>
          <w:color w:val="444746"/>
          <w:sz w:val="24"/>
          <w:szCs w:val="24"/>
          <w:vertAlign w:val="superscript"/>
        </w:rPr>
        <w:t>13</w:t>
      </w:r>
    </w:p>
    <w:p w14:paraId="214CD32C" w14:textId="77777777" w:rsidR="00927DF4"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Giải Quyết Bài Toán Mất Cân Bằng Dữ Liệu Thông Qua Các Trình Tạo Dữ Liệu Tổng Hợp (Generative AI Augmentation)</w:t>
      </w:r>
    </w:p>
    <w:p w14:paraId="1B4DFEC0"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Một nghịch lý cố hữu trong các bài toán phát hiện bất thường là hiện tượng bất đối xứng phân phối giai cấp (Class Imbalance).</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 xml:space="preserve"> Các điểm dữ liệu đại diện cho hiện tượng rò rỉ, chạy không tải hay quá tải trong một nhà máy luyện kim vận hành tốt thường chỉ chiếm dưới 1% tổng số lượng quan sát. Các thuật toán học máy thống kê, dù được tinh chỉnh tối ưu đến đâu, cũng sẽ có xu hướng rơi vào bẫy quá mức nhạy cảm với lớp đa số (dữ liệu bình thường) và phớt lờ các hiện tượng bất thường thiểu số.</w:t>
      </w:r>
      <w:r>
        <w:rPr>
          <w:rFonts w:ascii="Google Sans" w:eastAsia="Google Sans" w:hAnsi="Google Sans" w:cs="Google Sans"/>
          <w:color w:val="444746"/>
          <w:sz w:val="24"/>
          <w:szCs w:val="24"/>
          <w:vertAlign w:val="superscript"/>
        </w:rPr>
        <w:t>38</w:t>
      </w:r>
    </w:p>
    <w:p w14:paraId="1A32D555"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Ở cấp độ tiền xử lý dữ liệu xuất sắc, kỹ thuật gia tăng dữ liệu (Data Augmentation) là một hạng mục không thể thiếu.</w:t>
      </w:r>
      <w:r>
        <w:rPr>
          <w:rFonts w:ascii="Google Sans" w:eastAsia="Google Sans" w:hAnsi="Google Sans" w:cs="Google Sans"/>
          <w:color w:val="444746"/>
          <w:sz w:val="24"/>
          <w:szCs w:val="24"/>
          <w:vertAlign w:val="superscript"/>
        </w:rPr>
        <w:t>40</w:t>
      </w:r>
      <w:r>
        <w:rPr>
          <w:rFonts w:ascii="Google Sans" w:eastAsia="Google Sans" w:hAnsi="Google Sans" w:cs="Google Sans"/>
          <w:color w:val="1F1F1F"/>
        </w:rPr>
        <w:t xml:space="preserve"> Mặc dù các phương pháp tạo dữ liệu dựa trên nội suy khoảng cách truyền thống như SMOTE (Synthetic Minority Over-sampling Technique) có thể làm phong phú thêm bộ đệm, nhưng SMOTE lại phớt lờ hoàn toàn đặc tính phụ thuộc thời gian (temporal dependency) của chuỗi tín hiệu điện năng.</w:t>
      </w:r>
      <w:r>
        <w:rPr>
          <w:rFonts w:ascii="Google Sans" w:eastAsia="Google Sans" w:hAnsi="Google Sans" w:cs="Google Sans"/>
          <w:color w:val="444746"/>
          <w:sz w:val="24"/>
          <w:szCs w:val="24"/>
          <w:vertAlign w:val="superscript"/>
        </w:rPr>
        <w:t>38</w:t>
      </w:r>
    </w:p>
    <w:p w14:paraId="2B2EDF98"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Bước đột phá thực sự nằm ở việc triển khai </w:t>
      </w:r>
      <w:r>
        <w:rPr>
          <w:rFonts w:ascii="Google Sans" w:eastAsia="Google Sans" w:hAnsi="Google Sans" w:cs="Google Sans"/>
          <w:b/>
          <w:bCs/>
          <w:color w:val="1F1F1F"/>
        </w:rPr>
        <w:t>Mạng đối nghịch sinh (Generative Adversarial Networks - GANs)</w:t>
      </w:r>
      <w:r>
        <w:rPr>
          <w:rFonts w:ascii="Google Sans" w:eastAsia="Google Sans" w:hAnsi="Google Sans" w:cs="Google Sans"/>
          <w:color w:val="1F1F1F"/>
        </w:rPr>
        <w:t>, hoặc cụ thể hơn là kiến trúc 1D-DCGAN (Deep Convolutional GAN 1 chiều) và Mạng tự mã hóa biến phân (Variational Autoencoders - VAE) được tinh chỉnh riêng cho chuỗi thời gian.</w:t>
      </w:r>
      <w:r>
        <w:rPr>
          <w:rFonts w:ascii="Google Sans" w:eastAsia="Google Sans" w:hAnsi="Google Sans" w:cs="Google Sans"/>
          <w:color w:val="444746"/>
          <w:sz w:val="24"/>
          <w:szCs w:val="24"/>
          <w:vertAlign w:val="superscript"/>
        </w:rPr>
        <w:t>39</w:t>
      </w:r>
      <w:r>
        <w:rPr>
          <w:rFonts w:ascii="Google Sans" w:eastAsia="Google Sans" w:hAnsi="Google Sans" w:cs="Google Sans"/>
          <w:color w:val="1F1F1F"/>
        </w:rPr>
        <w:t xml:space="preserve"> Nhóm nghiên cứu sẽ thiết lập một mô hình Generator nhằm học hỏi sâu sắc cấu trúc không gian-thời gian và tương quan động lực học giữa Công suất tác dụng, Công suất phản kháng và hệ số công suất của các mẫu bất thường có sẵn. Sau đó, hệ thống sẽ sinh ra các mẫu sự cố rò rỉ và quá tải nhân tạo (synthetic anomalous signals) mang tính thực tế cao.</w:t>
      </w:r>
      <w:r>
        <w:rPr>
          <w:rFonts w:ascii="Google Sans" w:eastAsia="Google Sans" w:hAnsi="Google Sans" w:cs="Google Sans"/>
          <w:color w:val="444746"/>
          <w:sz w:val="24"/>
          <w:szCs w:val="24"/>
          <w:vertAlign w:val="superscript"/>
        </w:rPr>
        <w:t>41</w:t>
      </w:r>
      <w:r>
        <w:rPr>
          <w:rFonts w:ascii="Google Sans" w:eastAsia="Google Sans" w:hAnsi="Google Sans" w:cs="Google Sans"/>
          <w:color w:val="1F1F1F"/>
        </w:rPr>
        <w:t xml:space="preserve"> Quá trình này không chỉ làm cân bằng số lượng lớp nhãn trước khi đưa vào đào tạo mô hình phân </w:t>
      </w:r>
      <w:r>
        <w:rPr>
          <w:rFonts w:ascii="Google Sans" w:eastAsia="Google Sans" w:hAnsi="Google Sans" w:cs="Google Sans"/>
          <w:color w:val="1F1F1F"/>
        </w:rPr>
        <w:lastRenderedPageBreak/>
        <w:t>loại (như Random Forest, Isolation Forest) mà còn giúp củng cố tính mạnh mẽ (robustness) của mạng lưới phát hiện, giảm thiểu đáng kể tỷ lệ dương tính giả (False Positives).</w:t>
      </w:r>
      <w:r>
        <w:rPr>
          <w:rFonts w:ascii="Google Sans" w:eastAsia="Google Sans" w:hAnsi="Google Sans" w:cs="Google Sans"/>
          <w:color w:val="444746"/>
          <w:sz w:val="24"/>
          <w:szCs w:val="24"/>
          <w:vertAlign w:val="superscript"/>
        </w:rPr>
        <w:t>39</w:t>
      </w:r>
      <w:r>
        <w:rPr>
          <w:rFonts w:ascii="Google Sans" w:eastAsia="Google Sans" w:hAnsi="Google Sans" w:cs="Google Sans"/>
          <w:color w:val="1F1F1F"/>
        </w:rPr>
        <w:t xml:space="preserve"> Việc kiến tạo một đường ống từ trích xuất Wavelet đến tăng cường bằng GAN chính là điểm nhấn minh chứng cho tính độc đáo của dự án.</w:t>
      </w:r>
      <w:r>
        <w:rPr>
          <w:rFonts w:ascii="Google Sans" w:eastAsia="Google Sans" w:hAnsi="Google Sans" w:cs="Google Sans"/>
          <w:color w:val="444746"/>
          <w:sz w:val="24"/>
          <w:szCs w:val="24"/>
          <w:vertAlign w:val="superscript"/>
        </w:rPr>
        <w:t>40</w:t>
      </w:r>
    </w:p>
    <w:p w14:paraId="40448929" w14:textId="77777777" w:rsidR="00927DF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Khung Quản Trị Dự Án Kỹ Thuật Phần Mềm Tiêu Chuẩn Cho Nhóm Khoa Học Dữ Liệu Hai Người</w:t>
      </w:r>
    </w:p>
    <w:p w14:paraId="204EB38D"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Trong môi trường học thuật chuyên sâu hoặc các dự án công nghiệp thực tế, chất lượng của dữ liệu và sức mạnh của thuật toán không thể phát huy tác dụng nếu thiếu đi một quy trình kiểm soát phiên bản (Version Control) và phối hợp mã nguồn chặt chẽ.</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Đối với một đội ngũ đặc nhiệm gồm 2 người, việc áp dụng mô hình Git Flow toàn diện (với các nhánh Develop, Release, Hotfix phức tạp) là quá cồng kềnh và làm giảm tốc độ phát triển (developer velocity).</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Thay vào đó, chiến lược </w:t>
      </w:r>
      <w:r>
        <w:rPr>
          <w:rFonts w:ascii="Google Sans" w:eastAsia="Google Sans" w:hAnsi="Google Sans" w:cs="Google Sans"/>
          <w:b/>
          <w:bCs/>
          <w:color w:val="1F1F1F"/>
        </w:rPr>
        <w:t>Feature Branching</w:t>
      </w:r>
      <w:r>
        <w:rPr>
          <w:rFonts w:ascii="Google Sans" w:eastAsia="Google Sans" w:hAnsi="Google Sans" w:cs="Google Sans"/>
          <w:color w:val="1F1F1F"/>
        </w:rPr>
        <w:t xml:space="preserve"> (Phân nhánh theo tính năng) kết hợp với </w:t>
      </w:r>
      <w:r>
        <w:rPr>
          <w:rFonts w:ascii="Google Sans" w:eastAsia="Google Sans" w:hAnsi="Google Sans" w:cs="Google Sans"/>
          <w:b/>
          <w:bCs/>
          <w:color w:val="1F1F1F"/>
        </w:rPr>
        <w:t>Dự án hóa dựa trên vấn đề (Issue-Driven Development)</w:t>
      </w:r>
      <w:r>
        <w:rPr>
          <w:rFonts w:ascii="Google Sans" w:eastAsia="Google Sans" w:hAnsi="Google Sans" w:cs="Google Sans"/>
          <w:color w:val="1F1F1F"/>
        </w:rPr>
        <w:t xml:space="preserve"> là khuôn mẫu tối ưu nhất.</w:t>
      </w:r>
      <w:r>
        <w:rPr>
          <w:rFonts w:ascii="Google Sans" w:eastAsia="Google Sans" w:hAnsi="Google Sans" w:cs="Google Sans"/>
          <w:color w:val="444746"/>
          <w:sz w:val="24"/>
          <w:szCs w:val="24"/>
          <w:vertAlign w:val="superscript"/>
        </w:rPr>
        <w:t>42</w:t>
      </w:r>
    </w:p>
    <w:p w14:paraId="064AF0E8" w14:textId="77777777" w:rsidR="00927DF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Xây Dựng Cấu Trúc Kho Lưu Trữ (Repository Architecture)</w:t>
      </w:r>
    </w:p>
    <w:p w14:paraId="0408AF1B"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Một repo GitHub chuyên nghiệp không bao giờ được phép là một mớ hỗn độn của các tệp Jupyter Notebook vô định hình và các mảnh dữ liệu nằm rải rác.</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Nhóm hai người cần tuân thủ nghiêm ngặt hệ thống tệp tin phân lớp, tạo ra một ranh giới rõ ràng giữa dữ liệu thô, dữ liệu phái sinh và mã nguồn.</w:t>
      </w:r>
    </w:p>
    <w:p w14:paraId="5C324279" w14:textId="77777777" w:rsidR="00927DF4" w:rsidRDefault="00927DF4">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27DF4" w14:paraId="79B6C43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D077C" w14:textId="77777777" w:rsidR="00927DF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Thư Mục / Tệp Cốt Lõi</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4C643" w14:textId="77777777" w:rsidR="00927DF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Mô Tả Chức Năng Cấu Trúc Và Quy Định Vận Hành (Best Practices)</w:t>
            </w:r>
          </w:p>
        </w:tc>
      </w:tr>
      <w:tr w:rsidR="00927DF4" w14:paraId="096B00D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3586F" w14:textId="77777777" w:rsidR="00927DF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data/raw/</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49953" w14:textId="77777777" w:rsidR="00927DF4"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Thư mục thiêng liêng lưu trữ tệp gốc Steel_industry_data.csv. Quy tắc: Trạng thái Chỉ đọc (Read-Only). Tuyệt đối không có bất kỳ kịch bản nào được phép ghi đè lên thư mục này để đảm bảo khả năng truy xuất nguồn gốc.</w:t>
            </w:r>
            <w:r>
              <w:rPr>
                <w:rFonts w:ascii="Google Sans" w:eastAsia="Google Sans" w:hAnsi="Google Sans" w:cs="Google Sans"/>
                <w:color w:val="444746"/>
                <w:sz w:val="24"/>
                <w:szCs w:val="24"/>
                <w:vertAlign w:val="superscript"/>
              </w:rPr>
              <w:t>42</w:t>
            </w:r>
          </w:p>
        </w:tc>
      </w:tr>
      <w:tr w:rsidR="00927DF4" w14:paraId="77D80C1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0CCD90" w14:textId="77777777" w:rsidR="00927DF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data/processed/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6FEC1" w14:textId="77777777" w:rsidR="00927DF4"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Nơi lưu trữ các tệp .csv </w:t>
            </w:r>
            <w:proofErr w:type="gramStart"/>
            <w:r>
              <w:rPr>
                <w:rFonts w:ascii="Google Sans" w:eastAsia="Google Sans" w:hAnsi="Google Sans" w:cs="Google Sans"/>
                <w:color w:val="1F1F1F"/>
              </w:rPr>
              <w:t>hoặc .parquet</w:t>
            </w:r>
            <w:proofErr w:type="gramEnd"/>
            <w:r>
              <w:rPr>
                <w:rFonts w:ascii="Google Sans" w:eastAsia="Google Sans" w:hAnsi="Google Sans" w:cs="Google Sans"/>
                <w:color w:val="1F1F1F"/>
              </w:rPr>
              <w:t xml:space="preserve"> đã đi qua toàn bộ đường ống làm sạch, biến đổi Wavelet và sinh dữ liệu GAN.</w:t>
            </w:r>
            <w:r>
              <w:rPr>
                <w:rFonts w:ascii="Google Sans" w:eastAsia="Google Sans" w:hAnsi="Google Sans" w:cs="Google Sans"/>
                <w:color w:val="444746"/>
                <w:sz w:val="24"/>
                <w:szCs w:val="24"/>
                <w:vertAlign w:val="superscript"/>
              </w:rPr>
              <w:t>42</w:t>
            </w:r>
          </w:p>
        </w:tc>
      </w:tr>
      <w:tr w:rsidR="00927DF4" w14:paraId="4770B7C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55210E" w14:textId="77777777" w:rsidR="00927DF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notebooks/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E1E73B" w14:textId="77777777" w:rsidR="00927DF4"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Dành riêng cho phân tích khám phá (EDA) và tạo nguyên mẫu. Các tệp phải tuân thủ tiền tố số học tuần tự tĩnh: 01_eda_and_</w:t>
            </w:r>
            <w:proofErr w:type="gramStart"/>
            <w:r>
              <w:rPr>
                <w:rFonts w:ascii="Google Sans" w:eastAsia="Google Sans" w:hAnsi="Google Sans" w:cs="Google Sans"/>
                <w:color w:val="1F1F1F"/>
              </w:rPr>
              <w:t>baseline.ipynb</w:t>
            </w:r>
            <w:proofErr w:type="gramEnd"/>
            <w:r>
              <w:rPr>
                <w:rFonts w:ascii="Google Sans" w:eastAsia="Google Sans" w:hAnsi="Google Sans" w:cs="Google Sans"/>
                <w:color w:val="1F1F1F"/>
              </w:rPr>
              <w:t>, 02_feature_engineering_</w:t>
            </w:r>
            <w:proofErr w:type="gramStart"/>
            <w:r>
              <w:rPr>
                <w:rFonts w:ascii="Google Sans" w:eastAsia="Google Sans" w:hAnsi="Google Sans" w:cs="Google Sans"/>
                <w:color w:val="1F1F1F"/>
              </w:rPr>
              <w:t>math.ipynb</w:t>
            </w:r>
            <w:proofErr w:type="gramEnd"/>
            <w:r>
              <w:rPr>
                <w:rFonts w:ascii="Google Sans" w:eastAsia="Google Sans" w:hAnsi="Google Sans" w:cs="Google Sans"/>
                <w:color w:val="1F1F1F"/>
              </w:rPr>
              <w:t>, 03_gan_</w:t>
            </w:r>
            <w:proofErr w:type="gramStart"/>
            <w:r>
              <w:rPr>
                <w:rFonts w:ascii="Google Sans" w:eastAsia="Google Sans" w:hAnsi="Google Sans" w:cs="Google Sans"/>
                <w:color w:val="1F1F1F"/>
              </w:rPr>
              <w:t>augmentation.ipynb</w:t>
            </w:r>
            <w:proofErr w:type="gramEnd"/>
            <w:r>
              <w:rPr>
                <w:rFonts w:ascii="Google Sans" w:eastAsia="Google Sans" w:hAnsi="Google Sans" w:cs="Google Sans"/>
                <w:color w:val="1F1F1F"/>
              </w:rPr>
              <w:t xml:space="preserve"> để dẫn dắt mạch logic của dự án.</w:t>
            </w:r>
            <w:r>
              <w:rPr>
                <w:rFonts w:ascii="Google Sans" w:eastAsia="Google Sans" w:hAnsi="Google Sans" w:cs="Google Sans"/>
                <w:color w:val="444746"/>
                <w:sz w:val="24"/>
                <w:szCs w:val="24"/>
                <w:vertAlign w:val="superscript"/>
              </w:rPr>
              <w:t>42</w:t>
            </w:r>
          </w:p>
        </w:tc>
      </w:tr>
      <w:tr w:rsidR="00927DF4" w14:paraId="621CC72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46EBCA" w14:textId="77777777" w:rsidR="00927DF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src/</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7B74" w14:textId="77777777" w:rsidR="00927DF4"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Trái tim của dự án. Chứa các mô-đun Python .py thuần túy đã được chuẩn hóa hóa (như data_loader.py, wavelet_features.py). Ngăn ngừa việc lặp lại mã (DRY - Don't Repeat Yourself) giữa các notebook.</w:t>
            </w:r>
            <w:r>
              <w:rPr>
                <w:rFonts w:ascii="Google Sans" w:eastAsia="Google Sans" w:hAnsi="Google Sans" w:cs="Google Sans"/>
                <w:color w:val="444746"/>
                <w:sz w:val="24"/>
                <w:szCs w:val="24"/>
                <w:vertAlign w:val="superscript"/>
              </w:rPr>
              <w:t>42</w:t>
            </w:r>
          </w:p>
        </w:tc>
      </w:tr>
      <w:tr w:rsidR="00927DF4" w14:paraId="20B5299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116EAD" w14:textId="77777777" w:rsidR="00927DF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requirements.txt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CFA337" w14:textId="77777777" w:rsidR="00927DF4"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Cố định chính xác phiên bản của các thư viện (pandas, scikit-learn, PyWavelets, tensorflow) để hai thành viên không dính bẫy môi trường ảo cục bộ (Works on My Machine Syndrome).</w:t>
            </w:r>
            <w:r>
              <w:rPr>
                <w:rFonts w:ascii="Google Sans" w:eastAsia="Google Sans" w:hAnsi="Google Sans" w:cs="Google Sans"/>
                <w:color w:val="444746"/>
                <w:sz w:val="24"/>
                <w:szCs w:val="24"/>
                <w:vertAlign w:val="superscript"/>
              </w:rPr>
              <w:t>42</w:t>
            </w:r>
          </w:p>
        </w:tc>
      </w:tr>
      <w:tr w:rsidR="00927DF4" w14:paraId="073A20E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9003C" w14:textId="77777777" w:rsidR="00927DF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README.md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5AE619" w14:textId="77777777" w:rsidR="00927DF4"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Tài liệu dẫn đường toàn diện. Cấu trúc chuyên nghiệp bao gồm: Giới thiệu, Cấu trúc kho, Mục tiêu tiền xử lý, Hướng dẫn tái lập môi trường và quy trình chạy pipeline.</w:t>
            </w:r>
            <w:r>
              <w:rPr>
                <w:rFonts w:ascii="Google Sans" w:eastAsia="Google Sans" w:hAnsi="Google Sans" w:cs="Google Sans"/>
                <w:color w:val="444746"/>
                <w:sz w:val="24"/>
                <w:szCs w:val="24"/>
                <w:vertAlign w:val="superscript"/>
              </w:rPr>
              <w:t>43</w:t>
            </w:r>
          </w:p>
        </w:tc>
      </w:tr>
    </w:tbl>
    <w:p w14:paraId="5C0E07C0" w14:textId="77777777" w:rsidR="00927DF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Quy Trình Điều Phối Nguồn Mã (Collaboration Workflow)</w:t>
      </w:r>
    </w:p>
    <w:p w14:paraId="214C40EB" w14:textId="77777777" w:rsidR="00927DF4"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Jupyter Notebook dưới nền tảng Git lưu trữ ở định dạng JSON rất cồng kềnh, khiến việc gộp mã (merge) từ hai tác giả trên cùng một tệp notebook trở thành cơn ác mộng tiềm ẩn các xung đột không thể giải quyết.</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Do đó, quy trình đồng bộ của nhóm 2 người phải cực kỳ minh bạch:</w:t>
      </w:r>
    </w:p>
    <w:p w14:paraId="05634DFE" w14:textId="77777777" w:rsidR="00927DF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Phân nhánh tính năng độc lập (Isolation via Branching):</w:t>
      </w:r>
      <w:r>
        <w:rPr>
          <w:rFonts w:ascii="Google Sans" w:eastAsia="Google Sans" w:hAnsi="Google Sans" w:cs="Google Sans"/>
          <w:color w:val="1F1F1F"/>
        </w:rPr>
        <w:t xml:space="preserve"> Mọi ý tưởng tiền xử lý dữ liệu mới không bao giờ được phép code thẳng trên nhánh main. Nhánh main là nguồn chân lý duy nhất (Single Source of Truth) chỉ chứa mã đã xác thực.</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Thay vào đó, nếu thành viên A được phân công viết thuật toán Wavelet Transform, họ sử dụng lệnh: git checkout -b feature/wavelet-transform</w:t>
      </w:r>
    </w:p>
    <w:p w14:paraId="4DB3BBD9" w14:textId="77777777" w:rsidR="00927DF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Đồng bộ hóa liên tục (Continuous Synchronization):</w:t>
      </w:r>
      <w:r>
        <w:rPr>
          <w:rFonts w:ascii="Google Sans" w:eastAsia="Google Sans" w:hAnsi="Google Sans" w:cs="Google Sans"/>
          <w:color w:val="1F1F1F"/>
        </w:rPr>
        <w:t xml:space="preserve"> Để giảm thiểu xung đột, thành viên trong nhóm phải liên tục cập nhật nhánh cá nhân bằng cách lấy dữ liệu mới nhất từ người kia thông qua lệnh git pull origin main hàng ngày.</w:t>
      </w:r>
      <w:r>
        <w:rPr>
          <w:rFonts w:ascii="Google Sans" w:eastAsia="Google Sans" w:hAnsi="Google Sans" w:cs="Google Sans"/>
          <w:color w:val="444746"/>
          <w:sz w:val="24"/>
          <w:szCs w:val="24"/>
          <w:vertAlign w:val="superscript"/>
        </w:rPr>
        <w:t>42</w:t>
      </w:r>
    </w:p>
    <w:p w14:paraId="033A64FA" w14:textId="77777777" w:rsidR="00927DF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Hàng rào kiểm duyệt thông qua Pull Requests (PRs):</w:t>
      </w:r>
      <w:r>
        <w:rPr>
          <w:rFonts w:ascii="Google Sans" w:eastAsia="Google Sans" w:hAnsi="Google Sans" w:cs="Google Sans"/>
          <w:color w:val="1F1F1F"/>
        </w:rPr>
        <w:t xml:space="preserve"> Khi thuật toán đã chạy trơn tru, thay vì tự ý hòa trộn mã (merge), thành viên A phải mở một Pull Request trên GitHub.</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 xml:space="preserve"> </w:t>
      </w:r>
      <w:r>
        <w:rPr>
          <w:rFonts w:ascii="Google Sans" w:eastAsia="Google Sans" w:hAnsi="Google Sans" w:cs="Google Sans"/>
          <w:color w:val="1F1F1F"/>
        </w:rPr>
        <w:lastRenderedPageBreak/>
        <w:t>Thành viên B bắt buộc phải vào đọc mã, đánh giá xem logic tạo đặc trưng trễ (lag features) có vô tình gây ra lỗi rò rỉ dữ liệu (data leakage) giữa tập huấn luyện và tập kiểm thử hay không. Việc kiểm duyệt chéo này thể hiện tinh thần học thuật nghiêm ngặt và đảm bảo chất lượng hệ thống phần mềm.</w:t>
      </w:r>
      <w:r>
        <w:rPr>
          <w:rFonts w:ascii="Google Sans" w:eastAsia="Google Sans" w:hAnsi="Google Sans" w:cs="Google Sans"/>
          <w:color w:val="444746"/>
          <w:sz w:val="24"/>
          <w:szCs w:val="24"/>
          <w:vertAlign w:val="superscript"/>
        </w:rPr>
        <w:t>42</w:t>
      </w:r>
    </w:p>
    <w:p w14:paraId="724088EF" w14:textId="77777777" w:rsidR="00927DF4"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Issue-Driven Development:</w:t>
      </w:r>
      <w:r>
        <w:rPr>
          <w:rFonts w:ascii="Google Sans" w:eastAsia="Google Sans" w:hAnsi="Google Sans" w:cs="Google Sans"/>
          <w:color w:val="1F1F1F"/>
        </w:rPr>
        <w:t xml:space="preserve"> Mọi tính năng cần làm (từ EDA, tính công suất biểu kiến, đến cấu hình bộ sinh GAN) đều phải được tạo thành một tấm thẻ (Ticket) trong mục GitHub Issues. Quản lý cam kết mã (commits) bằng cách gắn trực tiếp thẻ tác vụ, ví dụ: git commit -m "Thêm hàm trích xuất tính năng Apparent Power, Closes #5", tạo ra một vòng lặp kiểm tra tự động và lưu vết toàn diện.</w:t>
      </w:r>
      <w:r>
        <w:rPr>
          <w:rFonts w:ascii="Google Sans" w:eastAsia="Google Sans" w:hAnsi="Google Sans" w:cs="Google Sans"/>
          <w:color w:val="444746"/>
          <w:sz w:val="24"/>
          <w:szCs w:val="24"/>
          <w:vertAlign w:val="superscript"/>
        </w:rPr>
        <w:t>42</w:t>
      </w:r>
    </w:p>
    <w:p w14:paraId="30D228EC" w14:textId="77777777" w:rsidR="00927DF4"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Tiêu Chuẩn Xây Dựng Báo Cáo Khoa Học Về Tiền Xử Lý Dữ Liệu Theo Kiến Trúc IEEE</w:t>
      </w:r>
    </w:p>
    <w:p w14:paraId="0978A61A"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Để đồ án đạt được điểm số tối đa và có thể tiếp cận tiêu chuẩn xuất bản khoa học, báo cáo cuối khóa phải đoạn tuyệt với phong cách kể lể dạng nhật ký của sinh viên, chuyển sang ngôn ngữ học thuật chặt chẽ, tuân theo quy chuẩn của Viện Kỹ sư Điện và Điện tử (IEEE).</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Mục đích của báo cáo không phải là kể lại quá trình nhóm đã code như thế nào, mà là chứng minh bằng thực nghiệm định lượng rằng đường ống tiền xử lý dữ liệu được thiết kế đã gia tăng giá trị thông tin của lưới điện thông minh một cách đột phá.</w:t>
      </w:r>
      <w:r>
        <w:rPr>
          <w:rFonts w:ascii="Google Sans" w:eastAsia="Google Sans" w:hAnsi="Google Sans" w:cs="Google Sans"/>
          <w:color w:val="444746"/>
          <w:sz w:val="24"/>
          <w:szCs w:val="24"/>
          <w:vertAlign w:val="superscript"/>
        </w:rPr>
        <w:t>28</w:t>
      </w:r>
    </w:p>
    <w:p w14:paraId="7488E80B" w14:textId="77777777" w:rsidR="00927DF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Cấu Trúc Khung Khái Niệm Báo Cáo (Paper Architecture)</w:t>
      </w:r>
    </w:p>
    <w:p w14:paraId="433ADB77"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1. Abstract (Tóm lược Khoa học)</w:t>
      </w:r>
      <w:r>
        <w:rPr>
          <w:rFonts w:ascii="Google Sans" w:eastAsia="Google Sans" w:hAnsi="Google Sans" w:cs="Google Sans"/>
          <w:color w:val="1F1F1F"/>
        </w:rPr>
        <w:t xml:space="preserve"> Giới hạn trong một đoạn văn duy nhất (150-250 từ) không có trích dẫn. Nêu lên bài toán lãng phí và quá tải trong công nghiệp thép.</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Mô tả ngắn gọn cách tiếp cận Data-Centric AI để đối phó với dữ liệu chuỗi thời gian.</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Đề cập đến đường ống tích hợp các đặc trưng vật lý (Công suất biểu kiến, Góc pha), phép biến đổi Wavelet (DWT), và cân bằng GAN. Kết thúc bằng một câu định lượng kết quả: "Sự kết hợp của không gian đặc trưng phái sinh đã nâng cao điểm số F1 trong việc phát hiện quá tải cục bộ lên X% so với đường cơ sở dữ liệu thô".</w:t>
      </w:r>
      <w:r>
        <w:rPr>
          <w:rFonts w:ascii="Google Sans" w:eastAsia="Google Sans" w:hAnsi="Google Sans" w:cs="Google Sans"/>
          <w:color w:val="444746"/>
          <w:sz w:val="24"/>
          <w:szCs w:val="24"/>
          <w:vertAlign w:val="superscript"/>
        </w:rPr>
        <w:t>27</w:t>
      </w:r>
    </w:p>
    <w:p w14:paraId="44024C9B"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2. Introduction (Giới thiệu Tổng quan)</w:t>
      </w:r>
      <w:r>
        <w:rPr>
          <w:rFonts w:ascii="Google Sans" w:eastAsia="Google Sans" w:hAnsi="Google Sans" w:cs="Google Sans"/>
          <w:color w:val="1F1F1F"/>
        </w:rPr>
        <w:t xml:space="preserve"> Mở đầu bằng động lực nghiên cứu về khủng hoảng năng lượng và các tiêu chuẩn kép về khử carbon trong công nghiệp nặng.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Phân định rõ ràng sự khác biệt giữa Data-Centric AI và Model-Centric AI.</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Thừa nhận sự thật rằng bộ dữ liệu Daewoo Steel không chứa dữ liệu khuyết thiếu, nhưng khẳng định mạnh mẽ rằng sự trơn tru bề mặt này không nắm bắt được động lực học phi tuyến ẩn sâu của hiện tượng rò rỉ và chạy không tải.</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Nhấn mạnh đóng góp cốt lõi (Core Contributions): Việc tái thiết một không gian đặc trưng đa chiều để bộc lộ các bất thường một cách tường minh cho mọi mô hình phân loại phía sau.</w:t>
      </w:r>
    </w:p>
    <w:p w14:paraId="2741B120"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3. Related Work (Các Nghiên Cứu Chuyên Ngành Liên Quan)</w:t>
      </w:r>
      <w:r>
        <w:rPr>
          <w:rFonts w:ascii="Google Sans" w:eastAsia="Google Sans" w:hAnsi="Google Sans" w:cs="Google Sans"/>
          <w:color w:val="1F1F1F"/>
        </w:rPr>
        <w:t xml:space="preserve"> Lược khảo các thuật toán phát hiện bất thường từ thống kê cổ điển (như ARIMA, dải phân vị IQR) đến hiện đại (Isolation Forest, </w:t>
      </w:r>
      <w:r>
        <w:rPr>
          <w:rFonts w:ascii="Google Sans" w:eastAsia="Google Sans" w:hAnsi="Google Sans" w:cs="Google Sans"/>
          <w:color w:val="1F1F1F"/>
        </w:rPr>
        <w:lastRenderedPageBreak/>
        <w:t>Autoencoders).</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Đưa ra góc nhìn phê phán (Critical Perspective): Hầu hết các tài liệu khoa học áp dụng mô hình sâu cho lưới điện đều thất bại trong việc tận dụng triệt để nền tảng toán lý của điện năng, thường xử lý các biến dòng điện như những con số vô cảm thay vì ghép chúng thành mạng lưới Công suất tác dụng và phản kháng.</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Từ đó, làm nổi bật tính độc bản của phương pháp phân rã thời gian-tần số kết hợp cơ điện học được đề xuất.</w:t>
      </w:r>
    </w:p>
    <w:p w14:paraId="1E34D1CC" w14:textId="77777777" w:rsidR="00927DF4"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4. Proposed Data Preprocessing and Feature Engineering Framework (Khung Tiền Xử Lý Dữ Liệu Và Trích Xuất Đặc Trưng Đề Xuất)</w:t>
      </w:r>
      <w:r>
        <w:rPr>
          <w:rFonts w:ascii="Google Sans" w:eastAsia="Google Sans" w:hAnsi="Google Sans" w:cs="Google Sans"/>
          <w:color w:val="1F1F1F"/>
        </w:rPr>
        <w:t xml:space="preserve"> Đây là linh hồn của tài liệu, phân bổ dung lượng lớn nhất. Cần tránh liệt kê dạng gạch đầu dòng mà phải sử dụng các đoạn văn miêu tả sự mạch lạc của hệ thống đường ống.</w:t>
      </w:r>
      <w:r>
        <w:rPr>
          <w:rFonts w:ascii="Google Sans" w:eastAsia="Google Sans" w:hAnsi="Google Sans" w:cs="Google Sans"/>
          <w:color w:val="444746"/>
          <w:sz w:val="24"/>
          <w:szCs w:val="24"/>
          <w:vertAlign w:val="superscript"/>
        </w:rPr>
        <w:t>29</w:t>
      </w:r>
    </w:p>
    <w:p w14:paraId="6B614949" w14:textId="77777777" w:rsidR="00927DF4"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Bắt đầu với </w:t>
      </w:r>
      <w:r>
        <w:rPr>
          <w:rFonts w:ascii="Google Sans" w:eastAsia="Google Sans" w:hAnsi="Google Sans" w:cs="Google Sans"/>
          <w:i/>
          <w:iCs/>
          <w:color w:val="1F1F1F"/>
        </w:rPr>
        <w:t>Time-Domain Feature Crafting</w:t>
      </w:r>
      <w:r>
        <w:rPr>
          <w:rFonts w:ascii="Google Sans" w:eastAsia="Google Sans" w:hAnsi="Google Sans" w:cs="Google Sans"/>
          <w:color w:val="1F1F1F"/>
        </w:rPr>
        <w:t>, giải thích cách các cửa sổ trượt (rolling parameters) thẩm thấu sự thay đổi vi mô qua thời gian.</w:t>
      </w:r>
      <w:r>
        <w:rPr>
          <w:rFonts w:ascii="Google Sans" w:eastAsia="Google Sans" w:hAnsi="Google Sans" w:cs="Google Sans"/>
          <w:color w:val="444746"/>
          <w:sz w:val="24"/>
          <w:szCs w:val="24"/>
          <w:vertAlign w:val="superscript"/>
        </w:rPr>
        <w:t>24</w:t>
      </w:r>
    </w:p>
    <w:p w14:paraId="0E456EFB" w14:textId="77777777" w:rsidR="00927DF4"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Chuyển sang </w:t>
      </w:r>
      <w:r>
        <w:rPr>
          <w:rFonts w:ascii="Google Sans" w:eastAsia="Google Sans" w:hAnsi="Google Sans" w:cs="Google Sans"/>
          <w:i/>
          <w:iCs/>
          <w:color w:val="1F1F1F"/>
        </w:rPr>
        <w:t>Frequency-Domain Analysis</w:t>
      </w:r>
      <w:r>
        <w:rPr>
          <w:rFonts w:ascii="Google Sans" w:eastAsia="Google Sans" w:hAnsi="Google Sans" w:cs="Google Sans"/>
          <w:color w:val="1F1F1F"/>
        </w:rPr>
        <w:t>, sử dụng công thức LaTeX thuần thục để thể hiện sự biến đổi toán học. Tranh luận sắc bén về sự ưu việt của Discrete Wavelet Transform (DWT) so với Fast Fourier Transform (FFT) trong việc giải mã không-thời gian của một tia lửa điện sự cố.</w:t>
      </w:r>
      <w:r>
        <w:rPr>
          <w:rFonts w:ascii="Google Sans" w:eastAsia="Google Sans" w:hAnsi="Google Sans" w:cs="Google Sans"/>
          <w:color w:val="444746"/>
          <w:sz w:val="24"/>
          <w:szCs w:val="24"/>
          <w:vertAlign w:val="superscript"/>
        </w:rPr>
        <w:t>31</w:t>
      </w:r>
    </w:p>
    <w:p w14:paraId="18BF5799" w14:textId="77777777" w:rsidR="00927DF4"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Củng cố bằng </w:t>
      </w:r>
      <w:r>
        <w:rPr>
          <w:rFonts w:ascii="Google Sans" w:eastAsia="Google Sans" w:hAnsi="Google Sans" w:cs="Google Sans"/>
          <w:i/>
          <w:iCs/>
          <w:color w:val="1F1F1F"/>
        </w:rPr>
        <w:t>Physical Dimension Mapping</w:t>
      </w:r>
      <w:r>
        <w:rPr>
          <w:rFonts w:ascii="Google Sans" w:eastAsia="Google Sans" w:hAnsi="Google Sans" w:cs="Google Sans"/>
          <w:color w:val="1F1F1F"/>
        </w:rPr>
        <w:t>, dẫn nhập công thức định luật Ohm và tam giác công suất (</w:t>
      </w:r>
      <w:r>
        <w:rPr>
          <w:rFonts w:ascii="Google Sans" w:eastAsia="Google Sans" w:hAnsi="Google Sans" w:cs="Google Sans"/>
          <w:noProof/>
          <w:color w:val="1F1F1F"/>
        </w:rPr>
        <w:drawing>
          <wp:inline distT="19050" distB="19050" distL="19050" distR="19050" wp14:anchorId="4435261A" wp14:editId="46038E8F">
            <wp:extent cx="577810" cy="235686"/>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7810" cy="235686"/>
                    </a:xfrm>
                    <a:prstGeom prst="rect">
                      <a:avLst/>
                    </a:prstGeom>
                    <a:ln/>
                  </pic:spPr>
                </pic:pic>
              </a:graphicData>
            </a:graphic>
          </wp:inline>
        </w:drawing>
      </w:r>
      <w:r>
        <w:rPr>
          <w:rFonts w:ascii="Google Sans" w:eastAsia="Google Sans" w:hAnsi="Google Sans" w:cs="Google Sans"/>
          <w:color w:val="1F1F1F"/>
        </w:rPr>
        <w:t xml:space="preserve">, và </w:t>
      </w:r>
      <w:r>
        <w:rPr>
          <w:rFonts w:ascii="Google Sans" w:eastAsia="Google Sans" w:hAnsi="Google Sans" w:cs="Google Sans"/>
          <w:noProof/>
          <w:color w:val="1F1F1F"/>
        </w:rPr>
        <w:drawing>
          <wp:inline distT="19050" distB="19050" distL="19050" distR="19050" wp14:anchorId="1180D8FF" wp14:editId="17116856">
            <wp:extent cx="110014" cy="227362"/>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10014" cy="227362"/>
                    </a:xfrm>
                    <a:prstGeom prst="rect">
                      <a:avLst/>
                    </a:prstGeom>
                    <a:ln/>
                  </pic:spPr>
                </pic:pic>
              </a:graphicData>
            </a:graphic>
          </wp:inline>
        </w:drawing>
      </w:r>
      <w:r>
        <w:rPr>
          <w:rFonts w:ascii="Google Sans" w:eastAsia="Google Sans" w:hAnsi="Google Sans" w:cs="Google Sans"/>
          <w:color w:val="1F1F1F"/>
        </w:rPr>
        <w:t>) nhằm tăng mật độ thông tin kỹ thuật.</w:t>
      </w:r>
      <w:r>
        <w:rPr>
          <w:rFonts w:ascii="Google Sans" w:eastAsia="Google Sans" w:hAnsi="Google Sans" w:cs="Google Sans"/>
          <w:color w:val="444746"/>
          <w:sz w:val="24"/>
          <w:szCs w:val="24"/>
          <w:vertAlign w:val="superscript"/>
        </w:rPr>
        <w:t>13</w:t>
      </w:r>
    </w:p>
    <w:p w14:paraId="7F9035D6" w14:textId="77777777" w:rsidR="00927DF4"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color w:val="1F1F1F"/>
        </w:rPr>
        <w:t xml:space="preserve">Chốt hạ bằng </w:t>
      </w:r>
      <w:r>
        <w:rPr>
          <w:rFonts w:ascii="Google Sans" w:eastAsia="Google Sans" w:hAnsi="Google Sans" w:cs="Google Sans"/>
          <w:i/>
          <w:iCs/>
          <w:color w:val="1F1F1F"/>
        </w:rPr>
        <w:t>Imbalance Resolution through Generative Architectures</w:t>
      </w:r>
      <w:r>
        <w:rPr>
          <w:rFonts w:ascii="Google Sans" w:eastAsia="Google Sans" w:hAnsi="Google Sans" w:cs="Google Sans"/>
          <w:color w:val="1F1F1F"/>
        </w:rPr>
        <w:t>, nơi kiến trúc GAN được thuyết minh dưới dạng đồ thị luồng xử lý (flowchart) thay cho văn bản dài dòng, làm rõ khả năng tái sinh tín hiệu chuỗi thời gian nhiễu.</w:t>
      </w:r>
      <w:r>
        <w:rPr>
          <w:rFonts w:ascii="Google Sans" w:eastAsia="Google Sans" w:hAnsi="Google Sans" w:cs="Google Sans"/>
          <w:color w:val="444746"/>
          <w:sz w:val="24"/>
          <w:szCs w:val="24"/>
          <w:vertAlign w:val="superscript"/>
        </w:rPr>
        <w:t>39</w:t>
      </w:r>
    </w:p>
    <w:p w14:paraId="5A6E47DB" w14:textId="77777777" w:rsidR="00927DF4" w:rsidRDefault="00000000">
      <w:pPr>
        <w:pBdr>
          <w:top w:val="nil"/>
          <w:left w:val="nil"/>
          <w:bottom w:val="nil"/>
          <w:right w:val="nil"/>
          <w:between w:val="nil"/>
        </w:pBdr>
        <w:spacing w:before="24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5. Experimental Setup and Performance Evaluation (Thiết Lập Thực Nghiệm Và Đánh Giá Hiệu Suất)</w:t>
      </w:r>
      <w:r>
        <w:rPr>
          <w:rFonts w:ascii="Google Sans" w:eastAsia="Google Sans" w:hAnsi="Google Sans" w:cs="Google Sans"/>
          <w:color w:val="1F1F1F"/>
        </w:rPr>
        <w:t xml:space="preserve"> Trong một bài toán tiền xử lý xuất sắc, việc đánh giá không thể chỉ đo lường trên một mô hình cuối. Thay vào đó, bản thiết kế đánh giá phải theo dạng đo lường "trước-sau" (Ablation Study).</w:t>
      </w:r>
      <w:r>
        <w:rPr>
          <w:rFonts w:ascii="Google Sans" w:eastAsia="Google Sans" w:hAnsi="Google Sans" w:cs="Google Sans"/>
          <w:color w:val="444746"/>
          <w:sz w:val="24"/>
          <w:szCs w:val="24"/>
          <w:vertAlign w:val="superscript"/>
        </w:rPr>
        <w:t>8</w:t>
      </w:r>
    </w:p>
    <w:p w14:paraId="53C772CD" w14:textId="77777777" w:rsidR="00927DF4"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Thiết lập Đường cơ sở (Baseline Model):</w:t>
      </w:r>
      <w:r>
        <w:rPr>
          <w:rFonts w:ascii="Google Sans" w:eastAsia="Google Sans" w:hAnsi="Google Sans" w:cs="Google Sans"/>
          <w:color w:val="1F1F1F"/>
        </w:rPr>
        <w:t xml:space="preserve"> Áp dụng một mô hình Random Forest hoặc Autoformer trực tiếp lên tập 9 biến gốc của Steel_industry_data.csv.</w:t>
      </w:r>
      <w:r>
        <w:rPr>
          <w:rFonts w:ascii="Google Sans" w:eastAsia="Google Sans" w:hAnsi="Google Sans" w:cs="Google Sans"/>
          <w:color w:val="444746"/>
          <w:sz w:val="24"/>
          <w:szCs w:val="24"/>
          <w:vertAlign w:val="superscript"/>
        </w:rPr>
        <w:t>10</w:t>
      </w:r>
    </w:p>
    <w:p w14:paraId="258BFEF0" w14:textId="77777777" w:rsidR="00927DF4"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Thiết lập Mô hình Tối ưu (Optimized Model):</w:t>
      </w:r>
      <w:r>
        <w:rPr>
          <w:rFonts w:ascii="Google Sans" w:eastAsia="Google Sans" w:hAnsi="Google Sans" w:cs="Google Sans"/>
          <w:color w:val="1F1F1F"/>
        </w:rPr>
        <w:t xml:space="preserve"> Áp dụng chính thuật toán cơ sở đó, nhưng trên bộ dữ liệu phái sinh đã được tiêm nhiễm hàng chục đặc trưng Wavelet, công suất biểu kiến và đã qua bộ lọc GAN.</w:t>
      </w:r>
      <w:r>
        <w:rPr>
          <w:rFonts w:ascii="Google Sans" w:eastAsia="Google Sans" w:hAnsi="Google Sans" w:cs="Google Sans"/>
          <w:color w:val="444746"/>
          <w:sz w:val="24"/>
          <w:szCs w:val="24"/>
          <w:vertAlign w:val="superscript"/>
        </w:rPr>
        <w:t>8</w:t>
      </w:r>
    </w:p>
    <w:p w14:paraId="06BFF636" w14:textId="77777777" w:rsidR="00927DF4"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Ma trận Thước đo (Evaluation Metrics):</w:t>
      </w:r>
      <w:r>
        <w:rPr>
          <w:rFonts w:ascii="Google Sans" w:eastAsia="Google Sans" w:hAnsi="Google Sans" w:cs="Google Sans"/>
          <w:color w:val="1F1F1F"/>
        </w:rPr>
        <w:t xml:space="preserve"> Không bao giờ sử dụng Độ chính xác (Accuracy) làm chỉ báo chính yếu do hiện tượng Nghịch lý độ chính xác trong dữ liệu siêu chênh lệch (Accuracy Paradox). Báo cáo bắt buộc phải phân tích độ xác chuẩn (Precision), độ bao quát (Recall), điểm số hài hòa F1-Score, và diện tích dưới đường cong nhận diện tính hiệu quả (AUC-ROC).</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Ma trận nhầm lẫn (Confusion Matrix) phải được thảo luận để xem xét hệ thống đã nhầm lẫn thế nào giữa các dao động cực độ bình thường (Tải Maximum) và các bất thường quá tải thực sự.</w:t>
      </w:r>
    </w:p>
    <w:p w14:paraId="0D5531DD" w14:textId="77777777" w:rsidR="00927DF4"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Định lượng giá trị đóng góp (Feature Importance Analysis):</w:t>
      </w:r>
      <w:r>
        <w:rPr>
          <w:rFonts w:ascii="Google Sans" w:eastAsia="Google Sans" w:hAnsi="Google Sans" w:cs="Google Sans"/>
          <w:color w:val="1F1F1F"/>
        </w:rPr>
        <w:t xml:space="preserve"> Để kết luận phần đánh giá, </w:t>
      </w:r>
      <w:r>
        <w:rPr>
          <w:rFonts w:ascii="Google Sans" w:eastAsia="Google Sans" w:hAnsi="Google Sans" w:cs="Google Sans"/>
          <w:color w:val="1F1F1F"/>
        </w:rPr>
        <w:lastRenderedPageBreak/>
        <w:t xml:space="preserve">áp dụng thư viện phân giải mô hình hộp đen như SHAP values hoặc Permutation Importance. Việc chứng minh bằng biểu đồ rằng các biến phái sinh </w:t>
      </w:r>
      <w:r>
        <w:rPr>
          <w:rFonts w:ascii="Google Sans" w:eastAsia="Google Sans" w:hAnsi="Google Sans" w:cs="Google Sans"/>
          <w:noProof/>
          <w:color w:val="1F1F1F"/>
        </w:rPr>
        <w:drawing>
          <wp:inline distT="19050" distB="19050" distL="19050" distR="19050" wp14:anchorId="11DC597A" wp14:editId="4D615391">
            <wp:extent cx="123706" cy="23968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23706" cy="239680"/>
                    </a:xfrm>
                    <a:prstGeom prst="rect">
                      <a:avLst/>
                    </a:prstGeom>
                    <a:ln/>
                  </pic:spPr>
                </pic:pic>
              </a:graphicData>
            </a:graphic>
          </wp:inline>
        </w:drawing>
      </w:r>
      <w:r>
        <w:rPr>
          <w:rFonts w:ascii="Google Sans" w:eastAsia="Google Sans" w:hAnsi="Google Sans" w:cs="Google Sans"/>
          <w:color w:val="1F1F1F"/>
        </w:rPr>
        <w:t xml:space="preserve"> hoặc các hệ số sóng Daubechies chiếm lĩnh các vị trí tầm quan trọng hàng đầu trong việc rẽ nhánh quyết định của thuật toán chính là bằng chứng thép cho sự thành công rực rỡ của toàn bộ quá trình tiền xử lý.</w:t>
      </w:r>
      <w:r>
        <w:rPr>
          <w:rFonts w:ascii="Google Sans" w:eastAsia="Google Sans" w:hAnsi="Google Sans" w:cs="Google Sans"/>
          <w:color w:val="444746"/>
          <w:sz w:val="24"/>
          <w:szCs w:val="24"/>
          <w:vertAlign w:val="superscript"/>
        </w:rPr>
        <w:t>15</w:t>
      </w:r>
    </w:p>
    <w:p w14:paraId="1866A043" w14:textId="77777777" w:rsidR="00927DF4"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6. Conclusion and Future Work (Kết Luận và Hướng Nghiên Cứu Mở Rộng)</w:t>
      </w:r>
      <w:r>
        <w:rPr>
          <w:rFonts w:ascii="Google Sans" w:eastAsia="Google Sans" w:hAnsi="Google Sans" w:cs="Google Sans"/>
          <w:color w:val="1F1F1F"/>
        </w:rPr>
        <w:t xml:space="preserve"> Tổng hợp lại triết lý Data-Centric AI đã phát huy sức mạnh vượt trội khi giải quyết được góc khuất của hiện tượng cháy không tải và rò rỉ điện năng thông qua sự phong phú hóa trường dữ liệu.</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Mở ra hướng đi thiết kế các bộ tiền xử lý thích ứng thời gian thực (real-time adaptive preprocessing) nhằm triển khai nhúng vào kiến trúc điện toán biên (Edge Computing) tại sàn nhà máy trong tương lai.</w:t>
      </w:r>
      <w:r>
        <w:rPr>
          <w:rFonts w:ascii="Google Sans" w:eastAsia="Google Sans" w:hAnsi="Google Sans" w:cs="Google Sans"/>
          <w:color w:val="444746"/>
          <w:sz w:val="24"/>
          <w:szCs w:val="24"/>
          <w:vertAlign w:val="superscript"/>
        </w:rPr>
        <w:t>26</w:t>
      </w:r>
    </w:p>
    <w:p w14:paraId="341EEDED" w14:textId="77777777" w:rsidR="00927DF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Định Hướng Tối Cao Trong Khám Phá Tri Thức (Insight Generation) Và Tiêu Chí Của Một Capstone Project Xuất Sắc</w:t>
      </w:r>
    </w:p>
    <w:p w14:paraId="219A70CB"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Sự kỳ vọng của các hội đồng chuyên môn đại học đối với một đồ án xuất sắc (capstone project) nằm ở năng lực suy diễn, giải quyết các bài toán công nghiệp phức tạp dựa trên bằng chứng dữ liệu, thay vì chỉ lập trình ra các dải code khô khan.</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Để đạt được điều đó, tư duy của nhóm nghiên cứu không được phép đóng khung vào việc "chạy ra số", mà phải thẩm thấu được ngôn ngữ của "tri thức thứ cấp" (second and third-order insights). Các nguyên lý khám phá sự thật sâu kín (insight generation guidelines) được phác họa như sau:</w:t>
      </w:r>
    </w:p>
    <w:p w14:paraId="3CE5F177"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Đầu tiên là nguyên lý Khám Phá Nghịch Lý (Paradoxical Discovery). Trong một khối lượng dữ liệu khổng lồ, giá trị cao nhất thường nằm ở những điểm phá vỡ quy luật nhiệt động học thông thường. Nếu đồ thị chỉ báo rằng một ngày cuối tuần đang duy trì trạng thái "Light Load", máy móc ngừng dập khuôn, nhưng biểu đồ cường độ dòng điện trễ pha (Lagging Reactive Current) không hề tĩnh lặng mà lại uốn lượn theo chu kỳ hình sin biên độ hẹp, điều đó biểu thị một nghịch lý.</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Người xử lý dữ liệu tầm thường sẽ bỏ qua hoặc là phẳng (smooth) đường cong đó đi xem như nhiễu. Tuy nhiên, một nhà phân tích kiệt xuất sẽ phát hiện ra đây là hệ quả của các tụ bù lưới điện bị đặt nhầm thông số cấu hình, liên tục đóng cắt để cố gắng cân bằng một hệ số công suất đang lơ lửng, gây tổn thất từ tính kinh khủng trong lúc nhà máy tắt đèn.</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Việc bắt lỗi này thông qua phương pháp phân cụm không giám sát (unsupervised clustering) sẽ trực tiếp chuyển hóa một bài tập kỹ năng thành một nghiên cứu mang lại giá trị hoàn vốn khổng lồ cho doanh nghiệp.</w:t>
      </w:r>
    </w:p>
    <w:p w14:paraId="5C6D3447" w14:textId="77777777" w:rsidR="00927DF4"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Thứ hai là nguyên tắc Đánh Giá Tác Động Lan Truyền (Ripple Effects Assessment). Bất kỳ một biến số nào trong không gian đa chiều không tồn tại một cách độc lập. Sự cố quá tải cục bộ </w:t>
      </w:r>
      <w:r>
        <w:rPr>
          <w:rFonts w:ascii="Google Sans" w:eastAsia="Google Sans" w:hAnsi="Google Sans" w:cs="Google Sans"/>
          <w:color w:val="1F1F1F"/>
        </w:rPr>
        <w:lastRenderedPageBreak/>
        <w:t>không diễn ra một cách ngẫu hứng; nó là đỉnh điểm của một chuỗi sự kiện tích lũy.</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Một phát hiện mang tính tri thức thứ cấp sẽ lập luận rằng: Bằng cách quan sát độ xiên (skewness) của cửa sổ thời gian 3 giờ trước đó, chúng ta thấy một sự mất ổn định vi mô trong các pha điện áp.</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Sự mất ổn định này lan truyền, làm hệ số công suất của khu vực rớt xuống dưới 0.9. Để duy trì mô-men xoắn của động cơ cán thép, hệ thống bắt buộc phải tiêu thụ thêm dòng điện, cuối cùng dẫn tới dòng thác quá tải kích hoạt công tắc bảo vệ vỡ bung (breaker tripping).</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Việc xây dựng các đặc trưng độ trễ thời gian (lagging temporal features) chính là nhằm cung cấp cho mô hình trí tuệ nhân tạo đôi mắt dự báo để cắt đứt chuỗi tác động lan truyền này từ trong trứng nước.</w:t>
      </w:r>
      <w:r>
        <w:rPr>
          <w:rFonts w:ascii="Google Sans" w:eastAsia="Google Sans" w:hAnsi="Google Sans" w:cs="Google Sans"/>
          <w:color w:val="444746"/>
          <w:sz w:val="24"/>
          <w:szCs w:val="24"/>
          <w:vertAlign w:val="superscript"/>
        </w:rPr>
        <w:t>24</w:t>
      </w:r>
    </w:p>
    <w:p w14:paraId="647B5DA9" w14:textId="77777777" w:rsidR="00927DF4"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Cuối cùng, sự liên kết không gian tri thức (Multivariate Cross-Examination) định hình nên bản sắc của dự án. Thay vì xử lý Usage_kWh và mức xả thải CO2 (CO2(tCO2)) như hai nhãn song song, sinh viên cần đánh giá tỷ suất tiêu thụ năng lượng và độ đậm đặc carbon (carbon intensity).</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Khi một quy trình máy móc chuyển dần sang rò rỉ điện năng dài hạn, lượng điện thất thoát biến thành nhiệt năng hao phí, kéo theo sự gia tăng vô ích trong dấu chân carbon phát thải mà khối lượng thành phẩm luyện kim vẫn giữ nguyên.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Khả năng kết nối giữa thuật toán phát hiện bất thường điện năng phi tuyến và sự cải thiện bức tranh kiểm kê khí nhà kính toàn cầu chính là thông điệp tối thượng giúp nâng tầm đồ án, biến nó từ một nghiên cứu công nghệ đơn thuần thành một luận điểm vững chắc về trách nhiệm phát triển bền vững trong khuôn khổ môi trường, xã hội và quản trị (ESG) hiện đại. Sự giao thoa tinh tế giữa lý luận khoa học, phương pháp luận học máy và nhãn quan công nghiệp sẽ là bệ phóng đưa nghiên cứu của nhóm tiến xa trên con đường chinh phục các ranh giới học thuật xuất sắc.</w:t>
      </w:r>
    </w:p>
    <w:p w14:paraId="6BC4FC60" w14:textId="77777777" w:rsidR="00927DF4"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7F12E2DC"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Steel Plant Energy Management Case Study - Oxmaint, accessed March 31, 2026, </w:t>
      </w:r>
      <w:hyperlink r:id="rId17">
        <w:r>
          <w:rPr>
            <w:rFonts w:ascii="Google Sans" w:eastAsia="Google Sans" w:hAnsi="Google Sans" w:cs="Google Sans"/>
            <w:color w:val="0000EE"/>
            <w:sz w:val="24"/>
            <w:szCs w:val="24"/>
            <w:u w:val="single"/>
          </w:rPr>
          <w:t>https://oxmaint.com/industries/steel-plant/steel-plant-energy-management-case-study</w:t>
        </w:r>
      </w:hyperlink>
    </w:p>
    <w:p w14:paraId="12961905"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Driving Energy Efficiency in Heavy Industries – Analysis - IEA, accessed March 31, 2026, </w:t>
      </w:r>
      <w:hyperlink r:id="rId18">
        <w:r>
          <w:rPr>
            <w:rFonts w:ascii="Google Sans" w:eastAsia="Google Sans" w:hAnsi="Google Sans" w:cs="Google Sans"/>
            <w:color w:val="0000EE"/>
            <w:sz w:val="24"/>
            <w:szCs w:val="24"/>
            <w:u w:val="single"/>
          </w:rPr>
          <w:t>https://www.iea.org/articles/driving-energy-efficiency-in-heavy-industries</w:t>
        </w:r>
      </w:hyperlink>
    </w:p>
    <w:p w14:paraId="234A9B7A"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Energy Use and Carbon Dioxide Emissions in the Steel Sector in Key Developing Countries - OSTI, accessed March 31, 2026, </w:t>
      </w:r>
      <w:hyperlink r:id="rId19">
        <w:r>
          <w:rPr>
            <w:rFonts w:ascii="Google Sans" w:eastAsia="Google Sans" w:hAnsi="Google Sans" w:cs="Google Sans"/>
            <w:color w:val="0000EE"/>
            <w:sz w:val="24"/>
            <w:szCs w:val="24"/>
            <w:u w:val="single"/>
          </w:rPr>
          <w:t>https://www.osti.gov/servlets/purl/783473</w:t>
        </w:r>
      </w:hyperlink>
    </w:p>
    <w:p w14:paraId="003B55D1"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Emissions Measurement and Data Collection for a Net Zero Steel Industry, accessed March 31, 2026, </w:t>
      </w:r>
      <w:hyperlink r:id="rId20">
        <w:r>
          <w:rPr>
            <w:rFonts w:ascii="Google Sans" w:eastAsia="Google Sans" w:hAnsi="Google Sans" w:cs="Google Sans"/>
            <w:color w:val="0000EE"/>
            <w:sz w:val="24"/>
            <w:szCs w:val="24"/>
            <w:u w:val="single"/>
          </w:rPr>
          <w:t>https://iea.blob.core.windows.net/assets/8f6568aa-1dd8-4578-bc61-24ceba4a07dd/EmissionsMeasurementandDataCollectionforaNetZeroSteelIndustry.pdf</w:t>
        </w:r>
      </w:hyperlink>
    </w:p>
    <w:p w14:paraId="7F57D2C4"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Data-Centric Artificial Intelligence, Preprocessing, and the Quest for Transformative Artificial Intelligence Systems Development | Request PDF - ResearchGate, accessed March 31, 2026, </w:t>
      </w:r>
      <w:hyperlink r:id="rId21">
        <w:r>
          <w:rPr>
            <w:rFonts w:ascii="Google Sans" w:eastAsia="Google Sans" w:hAnsi="Google Sans" w:cs="Google Sans"/>
            <w:color w:val="0000EE"/>
            <w:sz w:val="24"/>
            <w:szCs w:val="24"/>
            <w:u w:val="single"/>
          </w:rPr>
          <w:t>https://www.researchgate.net/publication/370438300_Data-</w:t>
        </w:r>
        <w:r>
          <w:rPr>
            <w:rFonts w:ascii="Google Sans" w:eastAsia="Google Sans" w:hAnsi="Google Sans" w:cs="Google Sans"/>
            <w:color w:val="0000EE"/>
            <w:sz w:val="24"/>
            <w:szCs w:val="24"/>
            <w:u w:val="single"/>
          </w:rPr>
          <w:lastRenderedPageBreak/>
          <w:t>Centric_Artificial_Intelligence_Preprocessing_and_the_Quest_for_Transformative_Artificial_Intelligence_Systems_Development</w:t>
        </w:r>
      </w:hyperlink>
    </w:p>
    <w:p w14:paraId="673DB0F9"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Data-Centric Artificial Intelligence, Preprocessing, and the Quest for ..., accessed March 31, 2026, </w:t>
      </w:r>
      <w:hyperlink r:id="rId22">
        <w:r>
          <w:rPr>
            <w:rFonts w:ascii="Google Sans" w:eastAsia="Google Sans" w:hAnsi="Google Sans" w:cs="Google Sans"/>
            <w:color w:val="0000EE"/>
            <w:sz w:val="24"/>
            <w:szCs w:val="24"/>
            <w:u w:val="single"/>
          </w:rPr>
          <w:t>https://ieeexplore.ieee.org/document/10109290</w:t>
        </w:r>
      </w:hyperlink>
    </w:p>
    <w:p w14:paraId="44BB2DC7"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Towards Data-Centric AI: A Comprehensive Survey of Traditional, Reinforcement, and Generative Approaches for Tabular Data Transformation - arXiv, accessed March 31, 2026, </w:t>
      </w:r>
      <w:hyperlink r:id="rId23">
        <w:r>
          <w:rPr>
            <w:rFonts w:ascii="Google Sans" w:eastAsia="Google Sans" w:hAnsi="Google Sans" w:cs="Google Sans"/>
            <w:color w:val="0000EE"/>
            <w:sz w:val="24"/>
            <w:szCs w:val="24"/>
            <w:u w:val="single"/>
          </w:rPr>
          <w:t>https://arxiv.org/html/2501.10555v1</w:t>
        </w:r>
      </w:hyperlink>
    </w:p>
    <w:p w14:paraId="5BD805A8"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Data Preprocessing and Feature Engineering Strategies for Large-Scale Predictive Modeling Applications - ResearchGate, accessed March 31, 2026, </w:t>
      </w:r>
      <w:hyperlink r:id="rId24">
        <w:r>
          <w:rPr>
            <w:rFonts w:ascii="Google Sans" w:eastAsia="Google Sans" w:hAnsi="Google Sans" w:cs="Google Sans"/>
            <w:color w:val="0000EE"/>
            <w:sz w:val="24"/>
            <w:szCs w:val="24"/>
            <w:u w:val="single"/>
          </w:rPr>
          <w:t>https://www.researchgate.net/publication/402324215_Data_Preprocessing_and_Feature_Engineering_Strategies_for_Large-Scale_Predictive_Modeling_Applications</w:t>
        </w:r>
      </w:hyperlink>
    </w:p>
    <w:p w14:paraId="095DDA1F"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Sponsor a Data Science Capstone Project - University of Colorado Boulder, accessed March 31, 2026, </w:t>
      </w:r>
      <w:hyperlink r:id="rId25">
        <w:r>
          <w:rPr>
            <w:rFonts w:ascii="Google Sans" w:eastAsia="Google Sans" w:hAnsi="Google Sans" w:cs="Google Sans"/>
            <w:color w:val="0000EE"/>
            <w:sz w:val="24"/>
            <w:szCs w:val="24"/>
            <w:u w:val="single"/>
          </w:rPr>
          <w:t>https://www.colorado.edu/program/data-science/sponsor-data-science-capstone-project</w:t>
        </w:r>
      </w:hyperlink>
    </w:p>
    <w:p w14:paraId="708593CD"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Steel Industry Energy Consumption - UCI Machine Learning Repository, accessed March 31, 2026, </w:t>
      </w:r>
      <w:hyperlink r:id="rId26">
        <w:r>
          <w:rPr>
            <w:rFonts w:ascii="Google Sans" w:eastAsia="Google Sans" w:hAnsi="Google Sans" w:cs="Google Sans"/>
            <w:color w:val="0000EE"/>
            <w:sz w:val="24"/>
            <w:szCs w:val="24"/>
            <w:u w:val="single"/>
          </w:rPr>
          <w:t>https://archive.ics.uci.edu/dataset/851/steel+industry+energy+consumption</w:t>
        </w:r>
      </w:hyperlink>
    </w:p>
    <w:p w14:paraId="4F8416AF"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Steel Industry Energy Consumption - Kaggle, accessed March 31, 2026, </w:t>
      </w:r>
      <w:hyperlink r:id="rId27">
        <w:r>
          <w:rPr>
            <w:rFonts w:ascii="Google Sans" w:eastAsia="Google Sans" w:hAnsi="Google Sans" w:cs="Google Sans"/>
            <w:color w:val="0000EE"/>
            <w:sz w:val="24"/>
            <w:szCs w:val="24"/>
            <w:u w:val="single"/>
          </w:rPr>
          <w:t>https://www.kaggle.com/datasets/csafrit2/steel-industry-energy-consumption</w:t>
        </w:r>
      </w:hyperlink>
    </w:p>
    <w:p w14:paraId="1967111E"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Energy Intensity of Steel Manufactured Utilising EAF Technology as a Function of Investments Made: The Case of the Steel Industry in Poland - MDPI, accessed March 31, 2026, </w:t>
      </w:r>
      <w:hyperlink r:id="rId28">
        <w:r>
          <w:rPr>
            <w:rFonts w:ascii="Google Sans" w:eastAsia="Google Sans" w:hAnsi="Google Sans" w:cs="Google Sans"/>
            <w:color w:val="0000EE"/>
            <w:sz w:val="24"/>
            <w:szCs w:val="24"/>
            <w:u w:val="single"/>
          </w:rPr>
          <w:t>https://www.mdpi.com/1996-1073/14/16/5152</w:t>
        </w:r>
      </w:hyperlink>
    </w:p>
    <w:p w14:paraId="220861B3"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Advanced Feature Engineering for Non-Intrusive Load ... - idUS, accessed March 31, 2026, </w:t>
      </w:r>
      <w:hyperlink r:id="rId29">
        <w:r>
          <w:rPr>
            <w:rFonts w:ascii="Google Sans" w:eastAsia="Google Sans" w:hAnsi="Google Sans" w:cs="Google Sans"/>
            <w:color w:val="0000EE"/>
            <w:sz w:val="24"/>
            <w:szCs w:val="24"/>
            <w:u w:val="single"/>
          </w:rPr>
          <w:t>https://idus.us.es/bitstreams/8a4f1e4a-5ac4-4f1e-8772-1a35dd9641aa/download</w:t>
        </w:r>
      </w:hyperlink>
    </w:p>
    <w:p w14:paraId="3698D38A"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Active vs Reactive vs Apparent Power: Key Differences Explained - Schneider Electric, accessed March 31, 2026, </w:t>
      </w:r>
      <w:hyperlink r:id="rId30">
        <w:r>
          <w:rPr>
            <w:rFonts w:ascii="Google Sans" w:eastAsia="Google Sans" w:hAnsi="Google Sans" w:cs="Google Sans"/>
            <w:color w:val="0000EE"/>
            <w:sz w:val="24"/>
            <w:szCs w:val="24"/>
            <w:u w:val="single"/>
          </w:rPr>
          <w:t>https://eshop.se.com/in/blog/post/difference-between-active-power-reactive-power-and-apparent-power.html</w:t>
        </w:r>
      </w:hyperlink>
    </w:p>
    <w:p w14:paraId="1FF821DD"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Analysis Steel Industry Energy Consumption with SHAP Feature Importance and EDA | by Ersa Zhafrina F | Medium, accessed March 31, 2026, </w:t>
      </w:r>
      <w:hyperlink r:id="rId31">
        <w:r>
          <w:rPr>
            <w:rFonts w:ascii="Google Sans" w:eastAsia="Google Sans" w:hAnsi="Google Sans" w:cs="Google Sans"/>
            <w:color w:val="0000EE"/>
            <w:sz w:val="24"/>
            <w:szCs w:val="24"/>
            <w:u w:val="single"/>
          </w:rPr>
          <w:t>https://medium.com/@ersazhafrina/analysis-steel-industry-energy-consumption-with-shap-feature-importance-and-eda-31491d1d672d</w:t>
        </w:r>
      </w:hyperlink>
    </w:p>
    <w:p w14:paraId="0D37CEC4"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Recent Progress of Anomaly Detection in Energy Applications: A Systematic Literature Review - UPCommons, accessed March 31, 2026, </w:t>
      </w:r>
      <w:hyperlink r:id="rId32">
        <w:r>
          <w:rPr>
            <w:rFonts w:ascii="Google Sans" w:eastAsia="Google Sans" w:hAnsi="Google Sans" w:cs="Google Sans"/>
            <w:color w:val="0000EE"/>
            <w:sz w:val="24"/>
            <w:szCs w:val="24"/>
            <w:u w:val="single"/>
          </w:rPr>
          <w:t>https://upcommons.upc.edu/bitstreams/125abb65-cd7b-48a7-8f84-c207576eef63/download</w:t>
        </w:r>
      </w:hyperlink>
    </w:p>
    <w:p w14:paraId="3103E083"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What Is Anomaly Detection, and How Can It Benefit Your Company - ITRex Group, accessed March 31, 2026, </w:t>
      </w:r>
      <w:hyperlink r:id="rId33">
        <w:r>
          <w:rPr>
            <w:rFonts w:ascii="Google Sans" w:eastAsia="Google Sans" w:hAnsi="Google Sans" w:cs="Google Sans"/>
            <w:color w:val="0000EE"/>
            <w:sz w:val="24"/>
            <w:szCs w:val="24"/>
            <w:u w:val="single"/>
          </w:rPr>
          <w:t>https://itrexgroup.com/blog/what-is-anomaly-detection-and-how-can-it-benefit-your-company/</w:t>
        </w:r>
      </w:hyperlink>
    </w:p>
    <w:p w14:paraId="7CC8DAFA"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O&amp;M Best Practices - A Guide to Achieving Operational Efficiency (Release 2.0) - Pacific Northwest National Laboratory, accessed March 31, 2026, </w:t>
      </w:r>
      <w:hyperlink r:id="rId34">
        <w:r>
          <w:rPr>
            <w:rFonts w:ascii="Google Sans" w:eastAsia="Google Sans" w:hAnsi="Google Sans" w:cs="Google Sans"/>
            <w:color w:val="0000EE"/>
            <w:sz w:val="24"/>
            <w:szCs w:val="24"/>
            <w:u w:val="single"/>
          </w:rPr>
          <w:t>https://www.pnnl.gov/main/publications/external/technical_reports/pnnl-</w:t>
        </w:r>
        <w:r>
          <w:rPr>
            <w:rFonts w:ascii="Google Sans" w:eastAsia="Google Sans" w:hAnsi="Google Sans" w:cs="Google Sans"/>
            <w:color w:val="0000EE"/>
            <w:sz w:val="24"/>
            <w:szCs w:val="24"/>
            <w:u w:val="single"/>
          </w:rPr>
          <w:lastRenderedPageBreak/>
          <w:t>14788.pdf</w:t>
        </w:r>
      </w:hyperlink>
    </w:p>
    <w:p w14:paraId="40859D69"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Detecting Anomalies in Energy Consumption using Machine Learning: A Case Study of AI4Good | by Eduardo Toledo | Medium, accessed March 31, 2026, </w:t>
      </w:r>
      <w:hyperlink r:id="rId35">
        <w:r>
          <w:rPr>
            <w:rFonts w:ascii="Google Sans" w:eastAsia="Google Sans" w:hAnsi="Google Sans" w:cs="Google Sans"/>
            <w:color w:val="0000EE"/>
            <w:sz w:val="24"/>
            <w:szCs w:val="24"/>
            <w:u w:val="single"/>
          </w:rPr>
          <w:t>https://medium.com/@etechoptimist/detecting-anomalies-in-energy-consumption-using-machine-learning-a-case-study-of-ai4good-72055c209048</w:t>
        </w:r>
      </w:hyperlink>
    </w:p>
    <w:p w14:paraId="60F490E5"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IMPACTS: Industrial Technologies Program, Summary of Program Results for CY2009, accessed March 31, 2026, </w:t>
      </w:r>
      <w:hyperlink r:id="rId36">
        <w:r>
          <w:rPr>
            <w:rFonts w:ascii="Google Sans" w:eastAsia="Google Sans" w:hAnsi="Google Sans" w:cs="Google Sans"/>
            <w:color w:val="0000EE"/>
            <w:sz w:val="24"/>
            <w:szCs w:val="24"/>
            <w:u w:val="single"/>
          </w:rPr>
          <w:t>https://www1.eere.energy.gov/manufacturing/about/pdfs/impacts2009_full_report.pdf</w:t>
        </w:r>
      </w:hyperlink>
    </w:p>
    <w:p w14:paraId="21679389"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Power Factor and Reactive Power in US Residences – Survey and EnergyPlus Modeling | Request PDF - ResearchGate, accessed March 31, 2026, </w:t>
      </w:r>
      <w:hyperlink r:id="rId37">
        <w:r>
          <w:rPr>
            <w:rFonts w:ascii="Google Sans" w:eastAsia="Google Sans" w:hAnsi="Google Sans" w:cs="Google Sans"/>
            <w:color w:val="0000EE"/>
            <w:sz w:val="24"/>
            <w:szCs w:val="24"/>
            <w:u w:val="single"/>
          </w:rPr>
          <w:t>https://www.researchgate.net/publication/356278862_Power_Factor_and_Reactive_Power_in_US_Residences_-_Survey_and_EnergyPlus_Modeling</w:t>
        </w:r>
      </w:hyperlink>
    </w:p>
    <w:p w14:paraId="1D93A94A"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Top 8 AI-Powered Anomaly Detection Tools for Time Series Data - Anodot, accessed March 31, 2026, </w:t>
      </w:r>
      <w:hyperlink r:id="rId38">
        <w:r>
          <w:rPr>
            <w:rFonts w:ascii="Google Sans" w:eastAsia="Google Sans" w:hAnsi="Google Sans" w:cs="Google Sans"/>
            <w:color w:val="0000EE"/>
            <w:sz w:val="24"/>
            <w:szCs w:val="24"/>
            <w:u w:val="single"/>
          </w:rPr>
          <w:t>https://www.anodot.com/learning-center/top-8-ai-powered-anomaly-detection-tools-for-time-series-data/</w:t>
        </w:r>
      </w:hyperlink>
    </w:p>
    <w:p w14:paraId="44D25067"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Anomaly Detection and Root Cause Analysis for Energy Consumption of Medium and Heavy Plate: A Novel Method Based on Bayesian Neural Network with Adam Variational Inference - MDPI, accessed March 31, 2026, </w:t>
      </w:r>
      <w:hyperlink r:id="rId39">
        <w:r>
          <w:rPr>
            <w:rFonts w:ascii="Google Sans" w:eastAsia="Google Sans" w:hAnsi="Google Sans" w:cs="Google Sans"/>
            <w:color w:val="0000EE"/>
            <w:sz w:val="24"/>
            <w:szCs w:val="24"/>
            <w:u w:val="single"/>
          </w:rPr>
          <w:t>https://www.mdpi.com/1999-4893/18/1/11</w:t>
        </w:r>
      </w:hyperlink>
    </w:p>
    <w:p w14:paraId="5363550F"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Advanced Feature Engineering for Time Series Data | by Rahul ..., accessed March 31, 2026, </w:t>
      </w:r>
      <w:hyperlink r:id="rId40">
        <w:r>
          <w:rPr>
            <w:rFonts w:ascii="Google Sans" w:eastAsia="Google Sans" w:hAnsi="Google Sans" w:cs="Google Sans"/>
            <w:color w:val="0000EE"/>
            <w:sz w:val="24"/>
            <w:szCs w:val="24"/>
            <w:u w:val="single"/>
          </w:rPr>
          <w:t>https://medium.com/@rahulholla1/advanced-feature-engineering-for-time-series-data-5f00e3a8ad29</w:t>
        </w:r>
      </w:hyperlink>
    </w:p>
    <w:p w14:paraId="24C311E5"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Design of a real-time abnormal detection system for rotating machinery based on YOLOv8, accessed March 31, 2026, </w:t>
      </w:r>
      <w:hyperlink r:id="rId41">
        <w:r>
          <w:rPr>
            <w:rFonts w:ascii="Google Sans" w:eastAsia="Google Sans" w:hAnsi="Google Sans" w:cs="Google Sans"/>
            <w:color w:val="0000EE"/>
            <w:sz w:val="24"/>
            <w:szCs w:val="24"/>
            <w:u w:val="single"/>
          </w:rPr>
          <w:t>https://www.frontiersin.org/journals/mechanical-engineering/articles/10.3389/fmech.2025.1683572/full</w:t>
        </w:r>
      </w:hyperlink>
    </w:p>
    <w:p w14:paraId="6A9231D1"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Energy Management Systems | A blueprint for sustainability innovation in steelmaking - ABB, accessed March 31, 2026, </w:t>
      </w:r>
      <w:hyperlink r:id="rId42">
        <w:r>
          <w:rPr>
            <w:rFonts w:ascii="Google Sans" w:eastAsia="Google Sans" w:hAnsi="Google Sans" w:cs="Google Sans"/>
            <w:color w:val="0000EE"/>
            <w:sz w:val="24"/>
            <w:szCs w:val="24"/>
            <w:u w:val="single"/>
          </w:rPr>
          <w:t>https://new.abb.com/metals/insights/energy-management-systems-a-blueprint-for-sustainability-innovation-in-steelmaking</w:t>
        </w:r>
      </w:hyperlink>
    </w:p>
    <w:p w14:paraId="058DFE8A"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Research on Anomaly Detection Model for Power Consumption Data Based on Time-Series Reconstruction - MDPI, accessed March 31, 2026, </w:t>
      </w:r>
      <w:hyperlink r:id="rId43">
        <w:r>
          <w:rPr>
            <w:rFonts w:ascii="Google Sans" w:eastAsia="Google Sans" w:hAnsi="Google Sans" w:cs="Google Sans"/>
            <w:color w:val="0000EE"/>
            <w:sz w:val="24"/>
            <w:szCs w:val="24"/>
            <w:u w:val="single"/>
          </w:rPr>
          <w:t>https://www.mdpi.com/1996-1073/17/19/4810</w:t>
        </w:r>
      </w:hyperlink>
    </w:p>
    <w:p w14:paraId="336A9EEB"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Data Preprocessing and Feature Engineering for Data Mining: Techniques, Tools, and Best Practices - MDPI, accessed March 31, 2026, </w:t>
      </w:r>
      <w:hyperlink r:id="rId44">
        <w:r>
          <w:rPr>
            <w:rFonts w:ascii="Google Sans" w:eastAsia="Google Sans" w:hAnsi="Google Sans" w:cs="Google Sans"/>
            <w:color w:val="0000EE"/>
            <w:sz w:val="24"/>
            <w:szCs w:val="24"/>
            <w:u w:val="single"/>
          </w:rPr>
          <w:t>https://www.mdpi.com/2673-2688/6/10/257</w:t>
        </w:r>
      </w:hyperlink>
    </w:p>
    <w:p w14:paraId="1C5F6C59"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Data Preprocessing and Feature Engineering for Data Mining: Techniques, Tools, and Best Practices - ResearchGate, accessed March 31, 2026, </w:t>
      </w:r>
      <w:hyperlink r:id="rId45">
        <w:r>
          <w:rPr>
            <w:rFonts w:ascii="Google Sans" w:eastAsia="Google Sans" w:hAnsi="Google Sans" w:cs="Google Sans"/>
            <w:color w:val="0000EE"/>
            <w:sz w:val="24"/>
            <w:szCs w:val="24"/>
            <w:u w:val="single"/>
          </w:rPr>
          <w:t>https://www.researchgate.net/publication/396154210_Data_Preprocessing_and_Feature_Engineering_for_Data_Mining_Techniques_Tools_and_Best_Practices</w:t>
        </w:r>
      </w:hyperlink>
    </w:p>
    <w:p w14:paraId="13CC570B"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Three Approaches to Feature Engineering for Time Series | Towards Data Science, accessed March 31, 2026, </w:t>
      </w:r>
      <w:hyperlink r:id="rId46">
        <w:r>
          <w:rPr>
            <w:rFonts w:ascii="Google Sans" w:eastAsia="Google Sans" w:hAnsi="Google Sans" w:cs="Google Sans"/>
            <w:color w:val="0000EE"/>
            <w:sz w:val="24"/>
            <w:szCs w:val="24"/>
            <w:u w:val="single"/>
          </w:rPr>
          <w:t>https://towardsdatascience.com/three-</w:t>
        </w:r>
        <w:r>
          <w:rPr>
            <w:rFonts w:ascii="Google Sans" w:eastAsia="Google Sans" w:hAnsi="Google Sans" w:cs="Google Sans"/>
            <w:color w:val="0000EE"/>
            <w:sz w:val="24"/>
            <w:szCs w:val="24"/>
            <w:u w:val="single"/>
          </w:rPr>
          <w:lastRenderedPageBreak/>
          <w:t>approaches-to-feature-engineering-for-time-series-2123069567be/</w:t>
        </w:r>
      </w:hyperlink>
    </w:p>
    <w:p w14:paraId="21340A21"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Time Series Decomposition Using Wavelet and Fourier Transforms for Enhanced Solar Flare Forecasting, accessed March 31, 2026, </w:t>
      </w:r>
      <w:hyperlink r:id="rId47">
        <w:r>
          <w:rPr>
            <w:rFonts w:ascii="Google Sans" w:eastAsia="Google Sans" w:hAnsi="Google Sans" w:cs="Google Sans"/>
            <w:color w:val="0000EE"/>
            <w:sz w:val="24"/>
            <w:szCs w:val="24"/>
            <w:u w:val="single"/>
          </w:rPr>
          <w:t>https://journals.flvc.org/FLAIRS/article/download/139016/144086/276171</w:t>
        </w:r>
      </w:hyperlink>
    </w:p>
    <w:p w14:paraId="64755240"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Fourier vs. Wavelet Transform: What's the Difference? - Built In, accessed March 31, 2026, </w:t>
      </w:r>
      <w:hyperlink r:id="rId48">
        <w:r>
          <w:rPr>
            <w:rFonts w:ascii="Google Sans" w:eastAsia="Google Sans" w:hAnsi="Google Sans" w:cs="Google Sans"/>
            <w:color w:val="0000EE"/>
            <w:sz w:val="24"/>
            <w:szCs w:val="24"/>
            <w:u w:val="single"/>
          </w:rPr>
          <w:t>https://builtin.com/data-science/wavelet-transform</w:t>
        </w:r>
      </w:hyperlink>
    </w:p>
    <w:p w14:paraId="03E15F49"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Is Fourier transform better than wavelet transform in time series analysis for financial data?, accessed March 31, 2026, </w:t>
      </w:r>
      <w:hyperlink r:id="rId49">
        <w:r>
          <w:rPr>
            <w:rFonts w:ascii="Google Sans" w:eastAsia="Google Sans" w:hAnsi="Google Sans" w:cs="Google Sans"/>
            <w:color w:val="0000EE"/>
            <w:sz w:val="24"/>
            <w:szCs w:val="24"/>
            <w:u w:val="single"/>
          </w:rPr>
          <w:t>https://www.quora.com/Is-Fourier-transform-better-than-wavelet-transform-in-time-series-analysis-for-financial-data</w:t>
        </w:r>
      </w:hyperlink>
    </w:p>
    <w:p w14:paraId="7811148F"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Fourier Transform VS. Wavelet Decomposition : r/DSP - Reddit, accessed March 31, 2026, </w:t>
      </w:r>
      <w:hyperlink r:id="rId50">
        <w:r>
          <w:rPr>
            <w:rFonts w:ascii="Google Sans" w:eastAsia="Google Sans" w:hAnsi="Google Sans" w:cs="Google Sans"/>
            <w:color w:val="0000EE"/>
            <w:sz w:val="24"/>
            <w:szCs w:val="24"/>
            <w:u w:val="single"/>
          </w:rPr>
          <w:t>https://www.reddit.com/r/DSP/comments/114yep/fourier_transform_vs_wavelet_decomposition/</w:t>
        </w:r>
      </w:hyperlink>
    </w:p>
    <w:p w14:paraId="424EB61F"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Using Wavelet Transforms in Time Series Forecasting | by Amit Yadav - Medium, accessed March 31, 2026, </w:t>
      </w:r>
      <w:hyperlink r:id="rId51">
        <w:r>
          <w:rPr>
            <w:rFonts w:ascii="Google Sans" w:eastAsia="Google Sans" w:hAnsi="Google Sans" w:cs="Google Sans"/>
            <w:color w:val="0000EE"/>
            <w:sz w:val="24"/>
            <w:szCs w:val="24"/>
            <w:u w:val="single"/>
          </w:rPr>
          <w:t>https://medium.com/@amit25173/using-wavelet-transforms-in-time-series-forecasting-aeca30204ea2</w:t>
        </w:r>
      </w:hyperlink>
    </w:p>
    <w:p w14:paraId="60ADACFC"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Early Electrical Fault Detection in Power Systems Using Data Analytics, accessed March 31, 2026, </w:t>
      </w:r>
      <w:hyperlink r:id="rId52">
        <w:r>
          <w:rPr>
            <w:rFonts w:ascii="Google Sans" w:eastAsia="Google Sans" w:hAnsi="Google Sans" w:cs="Google Sans"/>
            <w:color w:val="0000EE"/>
            <w:sz w:val="24"/>
            <w:szCs w:val="24"/>
            <w:u w:val="single"/>
          </w:rPr>
          <w:t>https://repository.rit.edu/cgi/viewcontent.cgi?article=13573&amp;context=theses</w:t>
        </w:r>
      </w:hyperlink>
    </w:p>
    <w:p w14:paraId="01D224B4"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Apparent Power Formula - Used Keysight Equipment, accessed March 31, 2026, </w:t>
      </w:r>
      <w:hyperlink r:id="rId53">
        <w:r>
          <w:rPr>
            <w:rFonts w:ascii="Google Sans" w:eastAsia="Google Sans" w:hAnsi="Google Sans" w:cs="Google Sans"/>
            <w:color w:val="0000EE"/>
            <w:sz w:val="24"/>
            <w:szCs w:val="24"/>
            <w:u w:val="single"/>
          </w:rPr>
          <w:t>https://www.keysight.com/used/us/en/knowledge/formulas/apparent-power</w:t>
        </w:r>
      </w:hyperlink>
    </w:p>
    <w:p w14:paraId="75D6C91B"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Enhancing Nickel Matte Grade Prediction Using SMOTE-Based Data Augmentation and Stacking Ensemble Learning for Limited Dataset - MDPI, accessed March 31, 2026, </w:t>
      </w:r>
      <w:hyperlink r:id="rId54">
        <w:r>
          <w:rPr>
            <w:rFonts w:ascii="Google Sans" w:eastAsia="Google Sans" w:hAnsi="Google Sans" w:cs="Google Sans"/>
            <w:color w:val="0000EE"/>
            <w:sz w:val="24"/>
            <w:szCs w:val="24"/>
            <w:u w:val="single"/>
          </w:rPr>
          <w:t>https://www.mdpi.com/2227-9717/13/3/754</w:t>
        </w:r>
      </w:hyperlink>
    </w:p>
    <w:p w14:paraId="4BEE0819"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Generative Adversarial Networks for Unsupervised Anomaly Detection in Energy Time series data (Papers Track) - Climate Change AI, accessed March 31, 2026, </w:t>
      </w:r>
      <w:hyperlink r:id="rId55">
        <w:r>
          <w:rPr>
            <w:rFonts w:ascii="Google Sans" w:eastAsia="Google Sans" w:hAnsi="Google Sans" w:cs="Google Sans"/>
            <w:color w:val="0000EE"/>
            <w:sz w:val="24"/>
            <w:szCs w:val="24"/>
            <w:u w:val="single"/>
          </w:rPr>
          <w:t>https://www.climatechange.ai/papers/iclr2025/18</w:t>
        </w:r>
      </w:hyperlink>
    </w:p>
    <w:p w14:paraId="05B9783C"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Overview of Data Augmentation Techniques in Time Series Analysis - The Science and Information (SAI) Organization, accessed March 31, 2026, </w:t>
      </w:r>
      <w:hyperlink r:id="rId56">
        <w:r>
          <w:rPr>
            <w:rFonts w:ascii="Google Sans" w:eastAsia="Google Sans" w:hAnsi="Google Sans" w:cs="Google Sans"/>
            <w:color w:val="0000EE"/>
            <w:sz w:val="24"/>
            <w:szCs w:val="24"/>
            <w:u w:val="single"/>
          </w:rPr>
          <w:t>https://thesai.org/Downloads/Volume15No1/Paper_118-Overview_of_Data_Augmentation_Techniques.pdf</w:t>
        </w:r>
      </w:hyperlink>
    </w:p>
    <w:p w14:paraId="37463E69"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Time series anomaly detection — in the era of deep learning | by MIT — Data to AI Lab, accessed March 31, 2026, </w:t>
      </w:r>
      <w:hyperlink r:id="rId57">
        <w:r>
          <w:rPr>
            <w:rFonts w:ascii="Google Sans" w:eastAsia="Google Sans" w:hAnsi="Google Sans" w:cs="Google Sans"/>
            <w:color w:val="0000EE"/>
            <w:sz w:val="24"/>
            <w:szCs w:val="24"/>
            <w:u w:val="single"/>
          </w:rPr>
          <w:t>https://medium.com/mit-data-to-ai-lab/time-series-anomaly-detection-in-the-era-of-deep-learning-f0237902224a</w:t>
        </w:r>
      </w:hyperlink>
    </w:p>
    <w:p w14:paraId="1CD506DB"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How to Use GitHub and Git for Collaborative Data Science Projects ..., accessed March 31, 2026, </w:t>
      </w:r>
      <w:hyperlink r:id="rId58">
        <w:r>
          <w:rPr>
            <w:rFonts w:ascii="Google Sans" w:eastAsia="Google Sans" w:hAnsi="Google Sans" w:cs="Google Sans"/>
            <w:color w:val="0000EE"/>
            <w:sz w:val="24"/>
            <w:szCs w:val="24"/>
            <w:u w:val="single"/>
          </w:rPr>
          <w:t>https://arounddatascience.com/blog/coding/how-to-use-github-and-git-for-collaborative-data-science-projects-a-complete-guide-for-algerian-data-scientists/</w:t>
        </w:r>
      </w:hyperlink>
    </w:p>
    <w:p w14:paraId="3374C8B1"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imarranz/data-science-workflow-management: This ... - GitHub, accessed March 31, 2026, </w:t>
      </w:r>
      <w:hyperlink r:id="rId59">
        <w:r>
          <w:rPr>
            <w:rFonts w:ascii="Google Sans" w:eastAsia="Google Sans" w:hAnsi="Google Sans" w:cs="Google Sans"/>
            <w:color w:val="0000EE"/>
            <w:sz w:val="24"/>
            <w:szCs w:val="24"/>
            <w:u w:val="single"/>
          </w:rPr>
          <w:t>https://github.com/imarranz/data-science-workflow-management</w:t>
        </w:r>
      </w:hyperlink>
    </w:p>
    <w:p w14:paraId="2243EC91"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 successful Git branching model - nvie.com, accessed March 31, 2026, </w:t>
      </w:r>
      <w:hyperlink r:id="rId60">
        <w:r>
          <w:rPr>
            <w:rFonts w:ascii="Google Sans" w:eastAsia="Google Sans" w:hAnsi="Google Sans" w:cs="Google Sans"/>
            <w:color w:val="0000EE"/>
            <w:sz w:val="24"/>
            <w:szCs w:val="24"/>
            <w:u w:val="single"/>
          </w:rPr>
          <w:t>https://nvie.com/posts/a-successful-git-branching-model/</w:t>
        </w:r>
      </w:hyperlink>
    </w:p>
    <w:p w14:paraId="22D74E58"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lastRenderedPageBreak/>
        <w:t xml:space="preserve">GitHub Analytical Workflow for Data Analysts, accessed March 31, 2026, </w:t>
      </w:r>
      <w:hyperlink r:id="rId61">
        <w:r>
          <w:rPr>
            <w:rFonts w:ascii="Google Sans" w:eastAsia="Google Sans" w:hAnsi="Google Sans" w:cs="Google Sans"/>
            <w:color w:val="0000EE"/>
            <w:sz w:val="24"/>
            <w:szCs w:val="24"/>
            <w:u w:val="single"/>
          </w:rPr>
          <w:t>https://towardsdatascience.com/github-analytical-workflow-for-data-analysts-31a28035b563/</w:t>
        </w:r>
      </w:hyperlink>
    </w:p>
    <w:p w14:paraId="38E54D60"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deaneeth/churn-prediction-data-pipeline: Step-by-step EDA and data preprocessing journey for customer churn prediction. Updated weekly with raw &amp; processed datasets, notebooks, and ML-ready pipeline. - GitHub, accessed March 31, 2026, </w:t>
      </w:r>
      <w:hyperlink r:id="rId62">
        <w:r>
          <w:rPr>
            <w:rFonts w:ascii="Google Sans" w:eastAsia="Google Sans" w:hAnsi="Google Sans" w:cs="Google Sans"/>
            <w:color w:val="0000EE"/>
            <w:sz w:val="24"/>
            <w:szCs w:val="24"/>
            <w:u w:val="single"/>
          </w:rPr>
          <w:t>https://github.com/deaneeth/churn-prediction-data-pipeline</w:t>
        </w:r>
      </w:hyperlink>
    </w:p>
    <w:p w14:paraId="4FD639AF"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data-science-wg/dswg_project_resources/Project-README-template.md at master - GitHub, accessed March 31, 2026, </w:t>
      </w:r>
      <w:hyperlink r:id="rId63">
        <w:r>
          <w:rPr>
            <w:rFonts w:ascii="Google Sans" w:eastAsia="Google Sans" w:hAnsi="Google Sans" w:cs="Google Sans"/>
            <w:color w:val="0000EE"/>
            <w:sz w:val="24"/>
            <w:szCs w:val="24"/>
            <w:u w:val="single"/>
          </w:rPr>
          <w:t>https://github.com/sfbrigade/data-science-wg/blob/master/dswg_project_resources/Project-README-template.md</w:t>
        </w:r>
      </w:hyperlink>
    </w:p>
    <w:p w14:paraId="686FD84C"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git - Whats the work flow with 2 people on a project - Software Engineering Stack Exchange, accessed March 31, 2026, </w:t>
      </w:r>
      <w:hyperlink r:id="rId64">
        <w:r>
          <w:rPr>
            <w:rFonts w:ascii="Google Sans" w:eastAsia="Google Sans" w:hAnsi="Google Sans" w:cs="Google Sans"/>
            <w:color w:val="0000EE"/>
            <w:sz w:val="24"/>
            <w:szCs w:val="24"/>
            <w:u w:val="single"/>
          </w:rPr>
          <w:t>https://softwareengineering.stackexchange.com/questions/98580/whats-the-work-flow-with-2-people-on-a-project</w:t>
        </w:r>
      </w:hyperlink>
    </w:p>
    <w:p w14:paraId="25C9C0C4"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Getting Started with git Branching Strategies and dbt | dbt Developer Blog, accessed March 31, 2026, </w:t>
      </w:r>
      <w:hyperlink r:id="rId65">
        <w:r>
          <w:rPr>
            <w:rFonts w:ascii="Google Sans" w:eastAsia="Google Sans" w:hAnsi="Google Sans" w:cs="Google Sans"/>
            <w:color w:val="0000EE"/>
            <w:sz w:val="24"/>
            <w:szCs w:val="24"/>
            <w:u w:val="single"/>
          </w:rPr>
          <w:t>https://docs.getdbt.com/blog/git-branching-strategies-with-dbt</w:t>
        </w:r>
      </w:hyperlink>
    </w:p>
    <w:p w14:paraId="47F4DAEC"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IEEE Conference Template | PDF | Machine Learning | Prediction - Scribd, accessed March 31, 2026, </w:t>
      </w:r>
      <w:hyperlink r:id="rId66">
        <w:r>
          <w:rPr>
            <w:rFonts w:ascii="Google Sans" w:eastAsia="Google Sans" w:hAnsi="Google Sans" w:cs="Google Sans"/>
            <w:color w:val="0000EE"/>
            <w:sz w:val="24"/>
            <w:szCs w:val="24"/>
            <w:u w:val="single"/>
          </w:rPr>
          <w:t>https://www.scribd.com/document/905698391/IEEE-Conference-Template</w:t>
        </w:r>
      </w:hyperlink>
    </w:p>
    <w:p w14:paraId="177F60A9"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Feature Engineering IEEE Paper | PDF | Machine Learning - Scribd, accessed March 31, 2026, </w:t>
      </w:r>
      <w:hyperlink r:id="rId67">
        <w:r>
          <w:rPr>
            <w:rFonts w:ascii="Google Sans" w:eastAsia="Google Sans" w:hAnsi="Google Sans" w:cs="Google Sans"/>
            <w:color w:val="0000EE"/>
            <w:sz w:val="24"/>
            <w:szCs w:val="24"/>
            <w:u w:val="single"/>
          </w:rPr>
          <w:t>https://www.scribd.com/document/901650123/Feature-Engineering-IEEE-Paper</w:t>
        </w:r>
      </w:hyperlink>
    </w:p>
    <w:p w14:paraId="0CABED78"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Auto-Prep: Efficient and Automated Data Preprocessing Pipeline - IEEE Xplore, accessed March 31, 2026, </w:t>
      </w:r>
      <w:hyperlink r:id="rId68">
        <w:r>
          <w:rPr>
            <w:rFonts w:ascii="Google Sans" w:eastAsia="Google Sans" w:hAnsi="Google Sans" w:cs="Google Sans"/>
            <w:color w:val="0000EE"/>
            <w:sz w:val="24"/>
            <w:szCs w:val="24"/>
            <w:u w:val="single"/>
          </w:rPr>
          <w:t>https://ieeexplore.ieee.org/iel7/6287639/9668973/09856663.pdf</w:t>
        </w:r>
      </w:hyperlink>
    </w:p>
    <w:p w14:paraId="3AC1BF4E"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Data Science Capstone DSCI 4093 | College of Science and Engineering - University of Minnesota Twin Cities, accessed March 31, 2026, </w:t>
      </w:r>
      <w:hyperlink r:id="rId69">
        <w:r>
          <w:rPr>
            <w:rFonts w:ascii="Google Sans" w:eastAsia="Google Sans" w:hAnsi="Google Sans" w:cs="Google Sans"/>
            <w:color w:val="0000EE"/>
            <w:sz w:val="24"/>
            <w:szCs w:val="24"/>
            <w:u w:val="single"/>
          </w:rPr>
          <w:t>https://cse.umn.edu/datascience/dsci_4093</w:t>
        </w:r>
      </w:hyperlink>
    </w:p>
    <w:p w14:paraId="35D4DB58"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Feature engineering for time-series data - Statsig, accessed March 31, 2026, </w:t>
      </w:r>
      <w:hyperlink r:id="rId70">
        <w:r>
          <w:rPr>
            <w:rFonts w:ascii="Google Sans" w:eastAsia="Google Sans" w:hAnsi="Google Sans" w:cs="Google Sans"/>
            <w:color w:val="0000EE"/>
            <w:sz w:val="24"/>
            <w:szCs w:val="24"/>
            <w:u w:val="single"/>
          </w:rPr>
          <w:t>https://www.statsig.com/perspectives/feature-engineering-timeseries</w:t>
        </w:r>
      </w:hyperlink>
    </w:p>
    <w:p w14:paraId="41EF87CD"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Steel Industry Energy Consumption Analysis - Kaggle, accessed March 31, 2026, </w:t>
      </w:r>
      <w:hyperlink r:id="rId71">
        <w:r>
          <w:rPr>
            <w:rFonts w:ascii="Google Sans" w:eastAsia="Google Sans" w:hAnsi="Google Sans" w:cs="Google Sans"/>
            <w:color w:val="0000EE"/>
            <w:sz w:val="24"/>
            <w:szCs w:val="24"/>
            <w:u w:val="single"/>
          </w:rPr>
          <w:t>https://www.kaggle.com/code/devraai/steel-industry-energy-consumption-analysis</w:t>
        </w:r>
      </w:hyperlink>
    </w:p>
    <w:p w14:paraId="1D398C3B"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 Systematic Review of Anomaly and Fault Detection Using Machine Learning for Industrial Machinery - MDPI, accessed March 31, 2026, </w:t>
      </w:r>
      <w:hyperlink r:id="rId72">
        <w:r>
          <w:rPr>
            <w:rFonts w:ascii="Google Sans" w:eastAsia="Google Sans" w:hAnsi="Google Sans" w:cs="Google Sans"/>
            <w:color w:val="0000EE"/>
            <w:sz w:val="24"/>
            <w:szCs w:val="24"/>
            <w:u w:val="single"/>
          </w:rPr>
          <w:t>https://www.mdpi.com/1999-4893/19/2/108</w:t>
        </w:r>
      </w:hyperlink>
    </w:p>
    <w:p w14:paraId="43C57539" w14:textId="77777777" w:rsidR="00927DF4"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Data Science Capstone - Project Handbook - TAMIDS - Texas A&amp;M University, accessed March 31, 2026, </w:t>
      </w:r>
      <w:hyperlink r:id="rId73">
        <w:r>
          <w:rPr>
            <w:rFonts w:ascii="Google Sans" w:eastAsia="Google Sans" w:hAnsi="Google Sans" w:cs="Google Sans"/>
            <w:color w:val="0000EE"/>
            <w:sz w:val="24"/>
            <w:szCs w:val="24"/>
            <w:u w:val="single"/>
          </w:rPr>
          <w:t>https://tamids.tamu.edu/wp-content/uploads/2023/05/Capstone-Manual.pdf</w:t>
        </w:r>
      </w:hyperlink>
    </w:p>
    <w:sectPr w:rsidR="00927DF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E0FCBC6-92C7-43D7-BFF9-CFD528B0DD5B}"/>
  </w:font>
  <w:font w:name="Google Sans">
    <w:charset w:val="00"/>
    <w:family w:val="auto"/>
    <w:pitch w:val="default"/>
    <w:embedRegular r:id="rId2" w:fontKey="{520B3F92-A015-4EE1-BB5F-EF79CDEE351C}"/>
    <w:embedBold r:id="rId3" w:fontKey="{7BB25BF1-21E5-42CC-8A8C-09E8446ABA21}"/>
    <w:embedItalic r:id="rId4" w:fontKey="{BC45ADB4-F174-4A2E-9186-B3DE22D25E74}"/>
  </w:font>
  <w:font w:name="Calibri">
    <w:panose1 w:val="020F0502020204030204"/>
    <w:charset w:val="00"/>
    <w:family w:val="swiss"/>
    <w:pitch w:val="variable"/>
    <w:sig w:usb0="E4002EFF" w:usb1="C200247B" w:usb2="00000009" w:usb3="00000000" w:csb0="000001FF" w:csb1="00000000"/>
    <w:embedRegular r:id="rId5" w:fontKey="{BE4CA9D8-C448-4447-8AA6-D596306CE35E}"/>
  </w:font>
  <w:font w:name="Cambria">
    <w:panose1 w:val="02040503050406030204"/>
    <w:charset w:val="00"/>
    <w:family w:val="roman"/>
    <w:pitch w:val="variable"/>
    <w:sig w:usb0="E00006FF" w:usb1="420024FF" w:usb2="02000000" w:usb3="00000000" w:csb0="0000019F" w:csb1="00000000"/>
    <w:embedRegular r:id="rId6" w:fontKey="{0FCE823A-2846-4159-A7F1-9FCEB05609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6DA"/>
    <w:multiLevelType w:val="multilevel"/>
    <w:tmpl w:val="C85297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E5333C"/>
    <w:multiLevelType w:val="multilevel"/>
    <w:tmpl w:val="A2B0EA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4616FF"/>
    <w:multiLevelType w:val="multilevel"/>
    <w:tmpl w:val="C17C3B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3E61CDD"/>
    <w:multiLevelType w:val="multilevel"/>
    <w:tmpl w:val="E4F425D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8A3105F"/>
    <w:multiLevelType w:val="multilevel"/>
    <w:tmpl w:val="91F6EE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96C2838"/>
    <w:multiLevelType w:val="multilevel"/>
    <w:tmpl w:val="53008CE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5102A8E"/>
    <w:multiLevelType w:val="multilevel"/>
    <w:tmpl w:val="6C2EC1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01364080">
    <w:abstractNumId w:val="0"/>
  </w:num>
  <w:num w:numId="2" w16cid:durableId="2033260403">
    <w:abstractNumId w:val="1"/>
  </w:num>
  <w:num w:numId="3" w16cid:durableId="1072894868">
    <w:abstractNumId w:val="6"/>
  </w:num>
  <w:num w:numId="4" w16cid:durableId="1192458141">
    <w:abstractNumId w:val="3"/>
  </w:num>
  <w:num w:numId="5" w16cid:durableId="1202983619">
    <w:abstractNumId w:val="2"/>
  </w:num>
  <w:num w:numId="6" w16cid:durableId="493843695">
    <w:abstractNumId w:val="4"/>
  </w:num>
  <w:num w:numId="7" w16cid:durableId="1632326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DF4"/>
    <w:rsid w:val="004971AD"/>
    <w:rsid w:val="00555B25"/>
    <w:rsid w:val="00927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879E7"/>
  <w15:docId w15:val="{2A828BE4-81CD-4BC0-A373-67AC46719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ve.ics.uci.edu/dataset/851/steel+industry+energy+consumption" TargetMode="External"/><Relationship Id="rId21" Type="http://schemas.openxmlformats.org/officeDocument/2006/relationships/hyperlink" Target="https://www.researchgate.net/publication/370438300_Data-Centric_Artificial_Intelligence_Preprocessing_and_the_Quest_for_Transformative_Artificial_Intelligence_Systems_Development" TargetMode="External"/><Relationship Id="rId42" Type="http://schemas.openxmlformats.org/officeDocument/2006/relationships/hyperlink" Target="https://new.abb.com/metals/insights/energy-management-systems-a-blueprint-for-sustainability-innovation-in-steelmaking" TargetMode="External"/><Relationship Id="rId47" Type="http://schemas.openxmlformats.org/officeDocument/2006/relationships/hyperlink" Target="https://journals.flvc.org/FLAIRS/article/download/139016/144086/276171" TargetMode="External"/><Relationship Id="rId63" Type="http://schemas.openxmlformats.org/officeDocument/2006/relationships/hyperlink" Target="https://github.com/sfbrigade/data-science-wg/blob/master/dswg_project_resources/Project-README-template.md" TargetMode="External"/><Relationship Id="rId68" Type="http://schemas.openxmlformats.org/officeDocument/2006/relationships/hyperlink" Target="https://ieeexplore.ieee.org/iel7/6287639/9668973/09856663.pdf" TargetMode="Externa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idus.us.es/bitstreams/8a4f1e4a-5ac4-4f1e-8772-1a35dd9641aa/download" TargetMode="External"/><Relationship Id="rId11" Type="http://schemas.openxmlformats.org/officeDocument/2006/relationships/image" Target="media/image7.png"/><Relationship Id="rId24" Type="http://schemas.openxmlformats.org/officeDocument/2006/relationships/hyperlink" Target="https://www.researchgate.net/publication/402324215_Data_Preprocessing_and_Feature_Engineering_Strategies_for_Large-Scale_Predictive_Modeling_Applications" TargetMode="External"/><Relationship Id="rId32" Type="http://schemas.openxmlformats.org/officeDocument/2006/relationships/hyperlink" Target="https://upcommons.upc.edu/bitstreams/125abb65-cd7b-48a7-8f84-c207576eef63/download" TargetMode="External"/><Relationship Id="rId37" Type="http://schemas.openxmlformats.org/officeDocument/2006/relationships/hyperlink" Target="https://www.researchgate.net/publication/356278862_Power_Factor_and_Reactive_Power_in_US_Residences_-_Survey_and_EnergyPlus_Modeling" TargetMode="External"/><Relationship Id="rId40" Type="http://schemas.openxmlformats.org/officeDocument/2006/relationships/hyperlink" Target="https://medium.com/@rahulholla1/advanced-feature-engineering-for-time-series-data-5f00e3a8ad29" TargetMode="External"/><Relationship Id="rId45" Type="http://schemas.openxmlformats.org/officeDocument/2006/relationships/hyperlink" Target="https://www.researchgate.net/publication/396154210_Data_Preprocessing_and_Feature_Engineering_for_Data_Mining_Techniques_Tools_and_Best_Practices" TargetMode="External"/><Relationship Id="rId53" Type="http://schemas.openxmlformats.org/officeDocument/2006/relationships/hyperlink" Target="https://www.keysight.com/used/us/en/knowledge/formulas/apparent-power" TargetMode="External"/><Relationship Id="rId58" Type="http://schemas.openxmlformats.org/officeDocument/2006/relationships/hyperlink" Target="https://arounddatascience.com/blog/coding/how-to-use-github-and-git-for-collaborative-data-science-projects-a-complete-guide-for-algerian-data-scientists/" TargetMode="External"/><Relationship Id="rId66" Type="http://schemas.openxmlformats.org/officeDocument/2006/relationships/hyperlink" Target="https://www.scribd.com/document/905698391/IEEE-Conference-Template" TargetMode="External"/><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towardsdatascience.com/github-analytical-workflow-for-data-analysts-31a28035b563/" TargetMode="External"/><Relationship Id="rId19" Type="http://schemas.openxmlformats.org/officeDocument/2006/relationships/hyperlink" Target="https://www.osti.gov/servlets/purl/783473" TargetMode="External"/><Relationship Id="rId14" Type="http://schemas.openxmlformats.org/officeDocument/2006/relationships/image" Target="media/image10.png"/><Relationship Id="rId22" Type="http://schemas.openxmlformats.org/officeDocument/2006/relationships/hyperlink" Target="https://ieeexplore.ieee.org/document/10109290" TargetMode="External"/><Relationship Id="rId27" Type="http://schemas.openxmlformats.org/officeDocument/2006/relationships/hyperlink" Target="https://www.kaggle.com/datasets/csafrit2/steel-industry-energy-consumption" TargetMode="External"/><Relationship Id="rId30" Type="http://schemas.openxmlformats.org/officeDocument/2006/relationships/hyperlink" Target="https://eshop.se.com/in/blog/post/difference-between-active-power-reactive-power-and-apparent-power.html" TargetMode="External"/><Relationship Id="rId35" Type="http://schemas.openxmlformats.org/officeDocument/2006/relationships/hyperlink" Target="https://medium.com/@etechoptimist/detecting-anomalies-in-energy-consumption-using-machine-learning-a-case-study-of-ai4good-72055c209048" TargetMode="External"/><Relationship Id="rId43" Type="http://schemas.openxmlformats.org/officeDocument/2006/relationships/hyperlink" Target="https://www.mdpi.com/1996-1073/17/19/4810" TargetMode="External"/><Relationship Id="rId48" Type="http://schemas.openxmlformats.org/officeDocument/2006/relationships/hyperlink" Target="https://builtin.com/data-science/wavelet-transform" TargetMode="External"/><Relationship Id="rId56" Type="http://schemas.openxmlformats.org/officeDocument/2006/relationships/hyperlink" Target="https://thesai.org/Downloads/Volume15No1/Paper_118-Overview_of_Data_Augmentation_Techniques.pdf" TargetMode="External"/><Relationship Id="rId64" Type="http://schemas.openxmlformats.org/officeDocument/2006/relationships/hyperlink" Target="https://softwareengineering.stackexchange.com/questions/98580/whats-the-work-flow-with-2-people-on-a-project" TargetMode="External"/><Relationship Id="rId69" Type="http://schemas.openxmlformats.org/officeDocument/2006/relationships/hyperlink" Target="https://cse.umn.edu/datascience/dsci_4093" TargetMode="External"/><Relationship Id="rId8" Type="http://schemas.openxmlformats.org/officeDocument/2006/relationships/image" Target="media/image4.png"/><Relationship Id="rId51" Type="http://schemas.openxmlformats.org/officeDocument/2006/relationships/hyperlink" Target="https://medium.com/@amit25173/using-wavelet-transforms-in-time-series-forecasting-aeca30204ea2" TargetMode="External"/><Relationship Id="rId72" Type="http://schemas.openxmlformats.org/officeDocument/2006/relationships/hyperlink" Target="https://www.mdpi.com/1999-4893/19/2/108"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oxmaint.com/industries/steel-plant/steel-plant-energy-management-case-study" TargetMode="External"/><Relationship Id="rId25" Type="http://schemas.openxmlformats.org/officeDocument/2006/relationships/hyperlink" Target="https://www.colorado.edu/program/data-science/sponsor-data-science-capstone-project" TargetMode="External"/><Relationship Id="rId33" Type="http://schemas.openxmlformats.org/officeDocument/2006/relationships/hyperlink" Target="https://itrexgroup.com/blog/what-is-anomaly-detection-and-how-can-it-benefit-your-company/" TargetMode="External"/><Relationship Id="rId38" Type="http://schemas.openxmlformats.org/officeDocument/2006/relationships/hyperlink" Target="https://www.anodot.com/learning-center/top-8-ai-powered-anomaly-detection-tools-for-time-series-data/" TargetMode="External"/><Relationship Id="rId46" Type="http://schemas.openxmlformats.org/officeDocument/2006/relationships/hyperlink" Target="https://towardsdatascience.com/three-approaches-to-feature-engineering-for-time-series-2123069567be/" TargetMode="External"/><Relationship Id="rId59" Type="http://schemas.openxmlformats.org/officeDocument/2006/relationships/hyperlink" Target="https://github.com/imarranz/data-science-workflow-management" TargetMode="External"/><Relationship Id="rId67" Type="http://schemas.openxmlformats.org/officeDocument/2006/relationships/hyperlink" Target="https://www.scribd.com/document/901650123/Feature-Engineering-IEEE-Paper" TargetMode="External"/><Relationship Id="rId20" Type="http://schemas.openxmlformats.org/officeDocument/2006/relationships/hyperlink" Target="https://iea.blob.core.windows.net/assets/8f6568aa-1dd8-4578-bc61-24ceba4a07dd/EmissionsMeasurementandDataCollectionforaNetZeroSteelIndustry.pdf" TargetMode="External"/><Relationship Id="rId41" Type="http://schemas.openxmlformats.org/officeDocument/2006/relationships/hyperlink" Target="https://www.frontiersin.org/journals/mechanical-engineering/articles/10.3389/fmech.2025.1683572/full" TargetMode="External"/><Relationship Id="rId54" Type="http://schemas.openxmlformats.org/officeDocument/2006/relationships/hyperlink" Target="https://www.mdpi.com/2227-9717/13/3/754" TargetMode="External"/><Relationship Id="rId62" Type="http://schemas.openxmlformats.org/officeDocument/2006/relationships/hyperlink" Target="https://github.com/deaneeth/churn-prediction-data-pipeline" TargetMode="External"/><Relationship Id="rId70" Type="http://schemas.openxmlformats.org/officeDocument/2006/relationships/hyperlink" Target="https://www.statsig.com/perspectives/feature-engineering-timeseries"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arxiv.org/html/2501.10555v1" TargetMode="External"/><Relationship Id="rId28" Type="http://schemas.openxmlformats.org/officeDocument/2006/relationships/hyperlink" Target="https://www.mdpi.com/1996-1073/14/16/5152" TargetMode="External"/><Relationship Id="rId36" Type="http://schemas.openxmlformats.org/officeDocument/2006/relationships/hyperlink" Target="https://www1.eere.energy.gov/manufacturing/about/pdfs/impacts2009_full_report.pdf" TargetMode="External"/><Relationship Id="rId49" Type="http://schemas.openxmlformats.org/officeDocument/2006/relationships/hyperlink" Target="https://www.quora.com/Is-Fourier-transform-better-than-wavelet-transform-in-time-series-analysis-for-financial-data" TargetMode="External"/><Relationship Id="rId57" Type="http://schemas.openxmlformats.org/officeDocument/2006/relationships/hyperlink" Target="https://medium.com/mit-data-to-ai-lab/time-series-anomaly-detection-in-the-era-of-deep-learning-f0237902224a" TargetMode="External"/><Relationship Id="rId10" Type="http://schemas.openxmlformats.org/officeDocument/2006/relationships/image" Target="media/image6.png"/><Relationship Id="rId31" Type="http://schemas.openxmlformats.org/officeDocument/2006/relationships/hyperlink" Target="https://medium.com/@ersazhafrina/analysis-steel-industry-energy-consumption-with-shap-feature-importance-and-eda-31491d1d672d" TargetMode="External"/><Relationship Id="rId44" Type="http://schemas.openxmlformats.org/officeDocument/2006/relationships/hyperlink" Target="https://www.mdpi.com/2673-2688/6/10/257" TargetMode="External"/><Relationship Id="rId52" Type="http://schemas.openxmlformats.org/officeDocument/2006/relationships/hyperlink" Target="https://repository.rit.edu/cgi/viewcontent.cgi?article=13573&amp;context=theses" TargetMode="External"/><Relationship Id="rId60" Type="http://schemas.openxmlformats.org/officeDocument/2006/relationships/hyperlink" Target="https://nvie.com/posts/a-successful-git-branching-model/" TargetMode="External"/><Relationship Id="rId65" Type="http://schemas.openxmlformats.org/officeDocument/2006/relationships/hyperlink" Target="https://docs.getdbt.com/blog/git-branching-strategies-with-dbt" TargetMode="External"/><Relationship Id="rId73" Type="http://schemas.openxmlformats.org/officeDocument/2006/relationships/hyperlink" Target="https://tamids.tamu.edu/wp-content/uploads/2023/05/Capstone-Manual.pdf"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hyperlink" Target="https://www.iea.org/articles/driving-energy-efficiency-in-heavy-industries" TargetMode="External"/><Relationship Id="rId39" Type="http://schemas.openxmlformats.org/officeDocument/2006/relationships/hyperlink" Target="https://www.mdpi.com/1999-4893/18/1/11" TargetMode="External"/><Relationship Id="rId34" Type="http://schemas.openxmlformats.org/officeDocument/2006/relationships/hyperlink" Target="https://www.pnnl.gov/main/publications/external/technical_reports/pnnl-14788.pdf" TargetMode="External"/><Relationship Id="rId50" Type="http://schemas.openxmlformats.org/officeDocument/2006/relationships/hyperlink" Target="https://www.reddit.com/r/DSP/comments/114yep/fourier_transform_vs_wavelet_decomposition/" TargetMode="External"/><Relationship Id="rId55" Type="http://schemas.openxmlformats.org/officeDocument/2006/relationships/hyperlink" Target="https://www.climatechange.ai/papers/iclr2025/18" TargetMode="External"/><Relationship Id="rId7" Type="http://schemas.openxmlformats.org/officeDocument/2006/relationships/image" Target="media/image3.png"/><Relationship Id="rId71" Type="http://schemas.openxmlformats.org/officeDocument/2006/relationships/hyperlink" Target="https://www.kaggle.com/code/devraai/steel-industry-energy-consumption-analysi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7987</Words>
  <Characters>37422</Characters>
  <Application>Microsoft Office Word</Application>
  <DocSecurity>0</DocSecurity>
  <Lines>733</Lines>
  <Paragraphs>190</Paragraphs>
  <ScaleCrop>false</ScaleCrop>
  <Company/>
  <LinksUpToDate>false</LinksUpToDate>
  <CharactersWithSpaces>45234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Nguyễn Minh Khang</cp:lastModifiedBy>
  <cp:revision>3</cp:revision>
  <dcterms:created xsi:type="dcterms:W3CDTF">2026-04-13T08:50:00Z</dcterms:created>
  <dcterms:modified xsi:type="dcterms:W3CDTF">2026-04-13T08:53:00Z</dcterms:modified>
</cp:coreProperties>
</file>